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3E8A6765"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6E2EA3">
        <w:rPr>
          <w:rFonts w:ascii="Arial" w:hAnsi="Arial" w:cs="Arial"/>
          <w:b/>
          <w:bCs/>
          <w:sz w:val="32"/>
          <w:szCs w:val="32"/>
          <w:lang w:val="en-US"/>
        </w:rPr>
        <w:t>06973</w:t>
      </w:r>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4FDD41DC" w14:textId="77777777" w:rsidR="00694A3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94A36" w:rsidRPr="00694A36">
        <w:rPr>
          <w:rFonts w:ascii="Arial" w:hAnsi="Arial" w:cs="Arial"/>
          <w:sz w:val="24"/>
          <w:lang w:val="en-US" w:eastAsia="zh-CN"/>
        </w:rPr>
        <w:t>RRM requirements for interband FR2 operation</w:t>
      </w:r>
    </w:p>
    <w:p w14:paraId="6CFF23BA" w14:textId="31BA3703"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7B1CF4C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C1ACC">
        <w:rPr>
          <w:rFonts w:ascii="Arial" w:hAnsi="Arial" w:cs="Arial"/>
          <w:sz w:val="24"/>
          <w:lang w:val="en-US" w:eastAsia="zh-CN"/>
        </w:rPr>
        <w:t>6.15.1.3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11966EB5" w:rsidR="00E948E9" w:rsidRDefault="005813AA" w:rsidP="002E5998">
      <w:pPr>
        <w:pStyle w:val="Heading1"/>
      </w:pPr>
      <w:r w:rsidRPr="00DA6BF8">
        <w:t>Introduction</w:t>
      </w:r>
    </w:p>
    <w:p w14:paraId="5321C57B" w14:textId="3A16C45C" w:rsidR="00694A36" w:rsidRPr="00694A36" w:rsidRDefault="00694A36" w:rsidP="00694A36">
      <w:r>
        <w:t xml:space="preserve">In this contribution we continue the discussion on RRM </w:t>
      </w:r>
      <w:r w:rsidR="006E2EA3">
        <w:t>requirements</w:t>
      </w:r>
      <w:r>
        <w:t xml:space="preserve"> for FR2 interband operation</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18FCFE01" w14:textId="0875E5DB" w:rsidR="00694A36" w:rsidRDefault="00694A36" w:rsidP="00A62E61">
      <w:pPr>
        <w:rPr>
          <w:lang w:val="en-US" w:eastAsia="zh-CN"/>
        </w:rPr>
      </w:pPr>
      <w:r>
        <w:rPr>
          <w:lang w:val="en-US" w:eastAsia="zh-CN"/>
        </w:rPr>
        <w:t xml:space="preserve">A way forward was agreed in RRM session </w:t>
      </w:r>
      <w:r>
        <w:rPr>
          <w:lang w:val="en-US" w:eastAsia="zh-CN"/>
        </w:rPr>
        <w:fldChar w:fldCharType="begin"/>
      </w:r>
      <w:r>
        <w:rPr>
          <w:lang w:val="en-US" w:eastAsia="zh-CN"/>
        </w:rPr>
        <w:instrText xml:space="preserve"> REF _Ref39742569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There was also discussion in the RF session and RF has the following way forward which is provided for reference since RRM session decided on the need for alignment with RF decisions</w:t>
      </w:r>
    </w:p>
    <w:p w14:paraId="2F9A0A8F" w14:textId="2DFFB643" w:rsidR="00A62E61" w:rsidRPr="00694A36" w:rsidRDefault="00694A36" w:rsidP="00A62E61">
      <w:pPr>
        <w:rPr>
          <w:i/>
          <w:iCs/>
          <w:lang w:val="en-US" w:eastAsia="zh-CN"/>
        </w:rPr>
      </w:pPr>
      <w:r w:rsidRPr="00694A36">
        <w:rPr>
          <w:i/>
          <w:iCs/>
          <w:lang w:val="en-US" w:eastAsia="zh-CN"/>
        </w:rPr>
        <w:t>RRM requirements work for FR2 inter-band CA should be aligned with the deployments, scenarios, band combinations and RF architectures discussed for release 16 for FR2 inter-band CA in the RF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A62E61" w:rsidRPr="003D3247" w14:paraId="2A75A531" w14:textId="77777777" w:rsidTr="003D3247">
        <w:tc>
          <w:tcPr>
            <w:tcW w:w="10763" w:type="dxa"/>
            <w:shd w:val="clear" w:color="auto" w:fill="auto"/>
          </w:tcPr>
          <w:p w14:paraId="45B668B5" w14:textId="77777777" w:rsidR="00694A36" w:rsidRPr="00694A36" w:rsidRDefault="00694A36" w:rsidP="00694A36">
            <w:pPr>
              <w:rPr>
                <w:lang w:val="en-US" w:eastAsia="zh-CN"/>
              </w:rPr>
            </w:pPr>
            <w:r w:rsidRPr="00694A36">
              <w:rPr>
                <w:lang w:val="en-US" w:eastAsia="zh-CN"/>
              </w:rPr>
              <w:t>CBM = common beam management between the band pair</w:t>
            </w:r>
          </w:p>
          <w:p w14:paraId="01DBCCD6" w14:textId="77777777" w:rsidR="00694A36" w:rsidRPr="00694A36" w:rsidRDefault="00694A36" w:rsidP="00694A36">
            <w:pPr>
              <w:rPr>
                <w:lang w:val="en-US" w:eastAsia="zh-CN"/>
              </w:rPr>
            </w:pPr>
            <w:r w:rsidRPr="00694A36">
              <w:rPr>
                <w:lang w:val="en-US" w:eastAsia="zh-CN"/>
              </w:rPr>
              <w:t>IBM = independent beam management between the band pairs</w:t>
            </w:r>
          </w:p>
          <w:p w14:paraId="684DE27D" w14:textId="77777777" w:rsidR="00694A36" w:rsidRPr="00694A36" w:rsidRDefault="00694A36" w:rsidP="00694A36">
            <w:pPr>
              <w:rPr>
                <w:lang w:val="en-US" w:eastAsia="zh-CN"/>
              </w:rPr>
            </w:pPr>
            <w:r w:rsidRPr="00694A36">
              <w:rPr>
                <w:lang w:val="en-US" w:eastAsia="zh-CN"/>
              </w:rPr>
              <w:t xml:space="preserve">How to distinguish between CBM and IBM band pairs will be further discussed and decided in RAN4#95. </w:t>
            </w:r>
          </w:p>
          <w:p w14:paraId="0EF6D0D3" w14:textId="77777777" w:rsidR="00694A36" w:rsidRPr="00694A36" w:rsidRDefault="00694A36" w:rsidP="00694A36">
            <w:pPr>
              <w:rPr>
                <w:lang w:val="en-US" w:eastAsia="zh-CN"/>
              </w:rPr>
            </w:pPr>
            <w:r w:rsidRPr="00694A36">
              <w:rPr>
                <w:lang w:val="en-US" w:eastAsia="zh-CN"/>
              </w:rPr>
              <w:t xml:space="preserve">Choose between two alternatives: </w:t>
            </w:r>
          </w:p>
          <w:p w14:paraId="2DB5D8FD" w14:textId="77777777" w:rsidR="00694A36" w:rsidRPr="00694A36" w:rsidRDefault="00694A36" w:rsidP="00694A36">
            <w:pPr>
              <w:rPr>
                <w:lang w:val="en-US" w:eastAsia="zh-CN"/>
              </w:rPr>
            </w:pPr>
            <w:r w:rsidRPr="00694A36">
              <w:rPr>
                <w:lang w:val="en-US" w:eastAsia="zh-CN"/>
              </w:rPr>
              <w:t>A) per band pair capability to declare IBM or CBM</w:t>
            </w:r>
          </w:p>
          <w:p w14:paraId="34522D70" w14:textId="77777777" w:rsidR="00694A36" w:rsidRPr="00694A36" w:rsidRDefault="00694A36" w:rsidP="00694A36">
            <w:pPr>
              <w:rPr>
                <w:lang w:val="en-US" w:eastAsia="zh-CN"/>
              </w:rPr>
            </w:pPr>
            <w:r w:rsidRPr="00694A36">
              <w:rPr>
                <w:lang w:val="en-US" w:eastAsia="zh-CN"/>
              </w:rPr>
              <w:t xml:space="preserve">B) IBM / CBM band pairs defined in specification. </w:t>
            </w:r>
          </w:p>
          <w:p w14:paraId="4FA5FF1F" w14:textId="77777777" w:rsidR="00694A36" w:rsidRPr="00694A36" w:rsidRDefault="00694A36" w:rsidP="00694A36">
            <w:pPr>
              <w:rPr>
                <w:lang w:val="en-US" w:eastAsia="zh-CN"/>
              </w:rPr>
            </w:pPr>
            <w:r w:rsidRPr="00694A36">
              <w:rPr>
                <w:lang w:val="en-US" w:eastAsia="zh-CN"/>
              </w:rPr>
              <w:t>Network does not assume CBM UE supports non-co-located deployment</w:t>
            </w:r>
          </w:p>
          <w:p w14:paraId="2E393582" w14:textId="77777777" w:rsidR="00694A36" w:rsidRPr="00694A36" w:rsidRDefault="00694A36" w:rsidP="00694A36">
            <w:pPr>
              <w:rPr>
                <w:lang w:val="en-US" w:eastAsia="zh-CN"/>
              </w:rPr>
            </w:pPr>
            <w:r w:rsidRPr="00694A36">
              <w:rPr>
                <w:lang w:val="en-US" w:eastAsia="zh-CN"/>
              </w:rPr>
              <w:t xml:space="preserve">This doesn’t mean the network cannot configure CBM UE in non-co-located deployment </w:t>
            </w:r>
          </w:p>
          <w:p w14:paraId="5F3E7823" w14:textId="537B20EB" w:rsidR="00694A36" w:rsidRPr="00694A36" w:rsidRDefault="00694A36" w:rsidP="00694A36">
            <w:pPr>
              <w:rPr>
                <w:lang w:val="en-US" w:eastAsia="zh-CN"/>
              </w:rPr>
            </w:pPr>
            <w:r w:rsidRPr="00694A36">
              <w:rPr>
                <w:lang w:val="en-US" w:eastAsia="zh-CN"/>
              </w:rPr>
              <w:t>Network assumes IBM UE supports both co-located and non-co-located deployments</w:t>
            </w:r>
          </w:p>
          <w:p w14:paraId="0FE2299D" w14:textId="77777777" w:rsidR="00694A36" w:rsidRPr="00694A36" w:rsidRDefault="00694A36" w:rsidP="00694A36">
            <w:pPr>
              <w:rPr>
                <w:lang w:val="en-US" w:eastAsia="zh-CN"/>
              </w:rPr>
            </w:pPr>
            <w:r w:rsidRPr="00694A36">
              <w:rPr>
                <w:lang w:val="en-US" w:eastAsia="zh-CN"/>
              </w:rPr>
              <w:t xml:space="preserve">PSD difference between bands in Refsens i.e. peak EIS: </w:t>
            </w:r>
          </w:p>
          <w:p w14:paraId="72632E58" w14:textId="77777777" w:rsidR="00694A36" w:rsidRPr="00694A36" w:rsidRDefault="00694A36" w:rsidP="00694A36">
            <w:pPr>
              <w:rPr>
                <w:lang w:val="en-US" w:eastAsia="zh-CN"/>
              </w:rPr>
            </w:pPr>
            <w:r w:rsidRPr="00694A36">
              <w:rPr>
                <w:lang w:val="en-US" w:eastAsia="zh-CN"/>
              </w:rPr>
              <w:t>Agree PSD difference is within a range[6.5 – 30] dB and RAN4 aims to agree one number in RAN4#95</w:t>
            </w:r>
          </w:p>
          <w:p w14:paraId="61F5DCA7" w14:textId="77777777" w:rsidR="00694A36" w:rsidRPr="00694A36" w:rsidRDefault="00694A36" w:rsidP="00694A36">
            <w:pPr>
              <w:rPr>
                <w:lang w:val="en-US" w:eastAsia="zh-CN"/>
              </w:rPr>
            </w:pPr>
            <w:r w:rsidRPr="00694A36">
              <w:rPr>
                <w:lang w:val="en-US" w:eastAsia="zh-CN"/>
              </w:rPr>
              <w:t xml:space="preserve">PSD difference between bands in EIS spherical coverage: </w:t>
            </w:r>
          </w:p>
          <w:p w14:paraId="5BC833BC" w14:textId="301EE815" w:rsidR="00A62E61" w:rsidRPr="003D3247" w:rsidRDefault="00694A36" w:rsidP="00694A36">
            <w:pPr>
              <w:rPr>
                <w:lang w:val="en-US" w:eastAsia="zh-CN"/>
              </w:rPr>
            </w:pPr>
            <w:r w:rsidRPr="00694A36">
              <w:rPr>
                <w:lang w:val="en-US" w:eastAsia="zh-CN"/>
              </w:rPr>
              <w:t>Agree a range[6.5 – 30] dB and target to agree one number in RAN4#95</w:t>
            </w:r>
          </w:p>
        </w:tc>
      </w:tr>
    </w:tbl>
    <w:p w14:paraId="3D6FB5D4" w14:textId="45FFE88E" w:rsidR="00A62E61" w:rsidRDefault="00A62E61" w:rsidP="00A62E61">
      <w:pPr>
        <w:rPr>
          <w:lang w:val="en-US" w:eastAsia="zh-CN"/>
        </w:rPr>
      </w:pPr>
    </w:p>
    <w:p w14:paraId="05895C9E" w14:textId="25FFEF17" w:rsidR="00694A36" w:rsidRDefault="00694A36" w:rsidP="00694A36">
      <w:pPr>
        <w:pStyle w:val="Heading2"/>
        <w:rPr>
          <w:lang w:val="en-US" w:eastAsia="zh-CN"/>
        </w:rPr>
      </w:pPr>
      <w:r>
        <w:rPr>
          <w:lang w:val="en-US" w:eastAsia="zh-CN"/>
        </w:rPr>
        <w:t>Reference receiver architectures for IBM and CBM</w:t>
      </w:r>
    </w:p>
    <w:p w14:paraId="66841AEC" w14:textId="7B948781" w:rsidR="00694A36" w:rsidRDefault="00C93066" w:rsidP="00694A36">
      <w:pPr>
        <w:rPr>
          <w:lang w:val="en-US" w:eastAsia="zh-CN"/>
        </w:rPr>
      </w:pPr>
      <w:r>
        <w:rPr>
          <w:lang w:val="en-US" w:eastAsia="zh-CN"/>
        </w:rPr>
        <w:t>In our understanding, there is no clear view on reference receiver architectures for IBM and CBM, although for many of the RRM open issues such as those related to interruptions and scheduling restrictions, it would be very relevant to decide on suitable requirements. Essentially, the current RF understanding is simply that IBM UEs support both collocated and non-</w:t>
      </w:r>
      <w:r w:rsidR="006E2EA3">
        <w:rPr>
          <w:lang w:val="en-US" w:eastAsia="zh-CN"/>
        </w:rPr>
        <w:t>collocated</w:t>
      </w:r>
      <w:r>
        <w:rPr>
          <w:lang w:val="en-US" w:eastAsia="zh-CN"/>
        </w:rPr>
        <w:t xml:space="preserve"> deployments, whereas the agreements for CBM from the network side do not assume that the CBM UE can support non-collocated deployment.</w:t>
      </w:r>
    </w:p>
    <w:p w14:paraId="09F6A667" w14:textId="64CCE036" w:rsidR="00C93066" w:rsidRDefault="00C93066" w:rsidP="00694A36">
      <w:pPr>
        <w:rPr>
          <w:lang w:val="en-US" w:eastAsia="zh-CN"/>
        </w:rPr>
      </w:pPr>
      <w:r>
        <w:rPr>
          <w:lang w:val="en-US" w:eastAsia="zh-CN"/>
        </w:rPr>
        <w:lastRenderedPageBreak/>
        <w:t>Since some understanding of architecture is necessary to proceed with the discussion, we provide some tentative views of the architectures of both IBM and CBM UEs although these are naturally subject to confirmation and alignment with the RF session, and it would be a decision for the RF session to take.</w:t>
      </w:r>
    </w:p>
    <w:p w14:paraId="22C25607" w14:textId="088C7B85" w:rsidR="00C93066" w:rsidRPr="00C93066" w:rsidRDefault="00C93066" w:rsidP="00694A36">
      <w:pPr>
        <w:rPr>
          <w:u w:val="single"/>
          <w:lang w:val="en-US" w:eastAsia="zh-CN"/>
        </w:rPr>
      </w:pPr>
      <w:r w:rsidRPr="00C93066">
        <w:rPr>
          <w:u w:val="single"/>
          <w:lang w:val="en-US" w:eastAsia="zh-CN"/>
        </w:rPr>
        <w:t>IBM UE</w:t>
      </w:r>
    </w:p>
    <w:p w14:paraId="106B500C" w14:textId="07BF6AA2" w:rsidR="00C93066" w:rsidRDefault="00C93066" w:rsidP="00694A36">
      <w:pPr>
        <w:rPr>
          <w:lang w:val="en-US" w:eastAsia="zh-CN"/>
        </w:rPr>
      </w:pPr>
      <w:r>
        <w:rPr>
          <w:lang w:val="en-US" w:eastAsia="zh-CN"/>
        </w:rPr>
        <w:t>By definition, an IBM UE must have independent beams for band X and band Y where it performs CA of X+Y. To implement such a UE without digital beamforming requires two independent and simultaneously active analogue beamforming antenna arrays. There may also be multiple antenna panels as with single band FR2 operation, however this is not an aspect which we need to discuss in detail. The main point is that to perform independent beamforming, the UE must be able to control the phase codewords of the antenna arrays independently.</w:t>
      </w:r>
    </w:p>
    <w:p w14:paraId="36653162" w14:textId="085971B0" w:rsidR="00C93066" w:rsidRDefault="00C93066" w:rsidP="00694A36">
      <w:pPr>
        <w:rPr>
          <w:lang w:val="en-US" w:eastAsia="zh-CN"/>
        </w:rPr>
      </w:pPr>
      <w:r>
        <w:rPr>
          <w:lang w:val="en-US" w:eastAsia="zh-CN"/>
        </w:rPr>
        <w:t>Since there are two independent and simultaneously active antenna arrays, it follows necessarily that there must also be two independent downlink receivers following these antenna arrays, providing two separate I-Q streams of samples to baseband processing. AGC receiver gain setting would be independent since the RF chains do not share any components (separation occurs already at the antenna arrays).</w:t>
      </w:r>
    </w:p>
    <w:p w14:paraId="55025E86" w14:textId="0B0463FA" w:rsidR="00C93066" w:rsidRDefault="00C93066" w:rsidP="00694A36">
      <w:pPr>
        <w:rPr>
          <w:lang w:val="en-US" w:eastAsia="zh-CN"/>
        </w:rPr>
      </w:pPr>
      <w:r>
        <w:rPr>
          <w:b/>
          <w:bCs/>
          <w:lang w:val="en-US" w:eastAsia="zh-CN"/>
        </w:rPr>
        <w:t xml:space="preserve">Observation 1 </w:t>
      </w:r>
      <w:r w:rsidR="004E5B46">
        <w:rPr>
          <w:lang w:val="en-US" w:eastAsia="zh-CN"/>
        </w:rPr>
        <w:t>: Independent beamforming UE consists of two simultaneously active and independent antenna arrays followed by 2 independent</w:t>
      </w:r>
      <w:r w:rsidR="00760958">
        <w:rPr>
          <w:lang w:val="en-US" w:eastAsia="zh-CN"/>
        </w:rPr>
        <w:t xml:space="preserve"> FR2 </w:t>
      </w:r>
      <w:r w:rsidR="004E5B46">
        <w:rPr>
          <w:lang w:val="en-US" w:eastAsia="zh-CN"/>
        </w:rPr>
        <w:t xml:space="preserve"> RF chains.</w:t>
      </w:r>
    </w:p>
    <w:p w14:paraId="18AAA459" w14:textId="05B283A0" w:rsidR="004E5B46" w:rsidRPr="00C93066" w:rsidRDefault="004E5B46" w:rsidP="004E5B46">
      <w:pPr>
        <w:rPr>
          <w:u w:val="single"/>
          <w:lang w:val="en-US" w:eastAsia="zh-CN"/>
        </w:rPr>
      </w:pPr>
      <w:r>
        <w:rPr>
          <w:u w:val="single"/>
          <w:lang w:val="en-US" w:eastAsia="zh-CN"/>
        </w:rPr>
        <w:t>C</w:t>
      </w:r>
      <w:r w:rsidRPr="00C93066">
        <w:rPr>
          <w:u w:val="single"/>
          <w:lang w:val="en-US" w:eastAsia="zh-CN"/>
        </w:rPr>
        <w:t>BM UE</w:t>
      </w:r>
    </w:p>
    <w:p w14:paraId="59C2C4C3" w14:textId="52045916" w:rsidR="004E5B46" w:rsidRDefault="004E5B46" w:rsidP="00694A36">
      <w:pPr>
        <w:rPr>
          <w:lang w:val="en-US" w:eastAsia="zh-CN"/>
        </w:rPr>
      </w:pPr>
      <w:r>
        <w:rPr>
          <w:lang w:val="en-US" w:eastAsia="zh-CN"/>
        </w:rPr>
        <w:t>There are more options for the implantation of a CBM UE, and discussion is needed on which RF components may be assumed to be shared in a CBM UE. Certainly, there is a single active antenna array since this is the definition of why the UE has a limitation of beamforming in a common direction. The question which needs to be addressed is whether any of the post antenna array components in the receiver are also shared. For example, it is possible to envisage that initial front end filtering is also shared between band X and band Y and then perhaps the signal is separated at the IF stage.</w:t>
      </w:r>
    </w:p>
    <w:p w14:paraId="0BDA7870" w14:textId="6B4463C0" w:rsidR="004E5B46" w:rsidRDefault="004E5B46" w:rsidP="00694A36">
      <w:pPr>
        <w:rPr>
          <w:lang w:val="en-US" w:eastAsia="zh-CN"/>
        </w:rPr>
      </w:pPr>
      <w:r>
        <w:rPr>
          <w:lang w:val="en-US" w:eastAsia="zh-CN"/>
        </w:rPr>
        <w:t xml:space="preserve">For the purposes of analysis we will assume that only the antenna array is shared in the common beam architecture and other front end components are not shared. As indicated this is subject to confirmation by RF, however it is necessary to make some assumptions to address CBM UE RRM requirements in a reasonable manner, since otherwise aspects such as interruption can only be based on company preferences rather than any </w:t>
      </w:r>
      <w:r w:rsidR="00760958">
        <w:rPr>
          <w:lang w:val="en-US" w:eastAsia="zh-CN"/>
        </w:rPr>
        <w:t>concrete</w:t>
      </w:r>
      <w:r>
        <w:rPr>
          <w:lang w:val="en-US" w:eastAsia="zh-CN"/>
        </w:rPr>
        <w:t xml:space="preserve"> analysis.</w:t>
      </w:r>
    </w:p>
    <w:p w14:paraId="39B3B636" w14:textId="2CDF4729" w:rsidR="00760958" w:rsidRDefault="00760958" w:rsidP="00694A36">
      <w:pPr>
        <w:rPr>
          <w:b/>
          <w:bCs/>
          <w:lang w:val="en-US" w:eastAsia="zh-CN"/>
        </w:rPr>
      </w:pPr>
      <w:r>
        <w:rPr>
          <w:b/>
          <w:bCs/>
          <w:lang w:val="en-US" w:eastAsia="zh-CN"/>
        </w:rPr>
        <w:t>Hypothesis 1 : Common beamforming UE consists of a single antenna array followed by 2 independent FR2 RF chains</w:t>
      </w:r>
    </w:p>
    <w:p w14:paraId="0CB9B4FB" w14:textId="42A9D481" w:rsidR="00760958" w:rsidRDefault="00760958" w:rsidP="00694A36">
      <w:pPr>
        <w:rPr>
          <w:lang w:val="en-US" w:eastAsia="zh-CN"/>
        </w:rPr>
      </w:pPr>
      <w:r>
        <w:rPr>
          <w:lang w:val="en-US" w:eastAsia="zh-CN"/>
        </w:rPr>
        <w:t>In table 1 we provide analysis of requirements areas in the RRM way forward based on observation 1 for IBM UEs and hypothesis 1 for CBM UEs</w:t>
      </w:r>
    </w:p>
    <w:p w14:paraId="084A2C90" w14:textId="209C3FAB" w:rsidR="00760958" w:rsidRDefault="00760958" w:rsidP="00694A36">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3588"/>
        <w:gridCol w:w="3588"/>
      </w:tblGrid>
      <w:tr w:rsidR="00760958" w:rsidRPr="00702BC5" w14:paraId="5AD796FD" w14:textId="77777777" w:rsidTr="00702BC5">
        <w:tc>
          <w:tcPr>
            <w:tcW w:w="3587" w:type="dxa"/>
            <w:shd w:val="clear" w:color="auto" w:fill="auto"/>
          </w:tcPr>
          <w:p w14:paraId="188964CD" w14:textId="3353E94B" w:rsidR="00760958" w:rsidRPr="00702BC5" w:rsidRDefault="00760958" w:rsidP="00694A36">
            <w:pPr>
              <w:rPr>
                <w:lang w:val="en-US" w:eastAsia="zh-CN"/>
              </w:rPr>
            </w:pPr>
            <w:r w:rsidRPr="00702BC5">
              <w:rPr>
                <w:lang w:val="en-US" w:eastAsia="zh-CN"/>
              </w:rPr>
              <w:t>Requirement</w:t>
            </w:r>
          </w:p>
        </w:tc>
        <w:tc>
          <w:tcPr>
            <w:tcW w:w="3588" w:type="dxa"/>
            <w:shd w:val="clear" w:color="auto" w:fill="auto"/>
          </w:tcPr>
          <w:p w14:paraId="69ECD23B" w14:textId="149AFB1D" w:rsidR="00760958" w:rsidRPr="00702BC5" w:rsidRDefault="00760958" w:rsidP="00694A36">
            <w:pPr>
              <w:rPr>
                <w:lang w:val="en-US" w:eastAsia="zh-CN"/>
              </w:rPr>
            </w:pPr>
            <w:r w:rsidRPr="00702BC5">
              <w:rPr>
                <w:lang w:val="en-US" w:eastAsia="zh-CN"/>
              </w:rPr>
              <w:t>IBM UE analysis</w:t>
            </w:r>
          </w:p>
        </w:tc>
        <w:tc>
          <w:tcPr>
            <w:tcW w:w="3588" w:type="dxa"/>
            <w:shd w:val="clear" w:color="auto" w:fill="auto"/>
          </w:tcPr>
          <w:p w14:paraId="3D49FF65" w14:textId="20905522" w:rsidR="00760958" w:rsidRPr="00702BC5" w:rsidRDefault="00760958" w:rsidP="00694A36">
            <w:pPr>
              <w:rPr>
                <w:lang w:val="en-US" w:eastAsia="zh-CN"/>
              </w:rPr>
            </w:pPr>
            <w:r w:rsidRPr="00702BC5">
              <w:rPr>
                <w:lang w:val="en-US" w:eastAsia="zh-CN"/>
              </w:rPr>
              <w:t>CBM UE analysis</w:t>
            </w:r>
          </w:p>
        </w:tc>
      </w:tr>
      <w:tr w:rsidR="00760958" w:rsidRPr="00702BC5" w14:paraId="0CED5CD1" w14:textId="77777777" w:rsidTr="00702BC5">
        <w:tc>
          <w:tcPr>
            <w:tcW w:w="3587" w:type="dxa"/>
            <w:shd w:val="clear" w:color="auto" w:fill="auto"/>
          </w:tcPr>
          <w:p w14:paraId="1BC844D3" w14:textId="4623540A" w:rsidR="00760958" w:rsidRPr="00702BC5" w:rsidRDefault="00760958" w:rsidP="00694A36">
            <w:pPr>
              <w:rPr>
                <w:lang w:val="en-US" w:eastAsia="zh-CN"/>
              </w:rPr>
            </w:pPr>
            <w:r w:rsidRPr="00702BC5">
              <w:rPr>
                <w:lang w:val="en-US" w:eastAsia="zh-CN"/>
              </w:rPr>
              <w:t>Interruptions</w:t>
            </w:r>
          </w:p>
        </w:tc>
        <w:tc>
          <w:tcPr>
            <w:tcW w:w="3588" w:type="dxa"/>
            <w:shd w:val="clear" w:color="auto" w:fill="auto"/>
          </w:tcPr>
          <w:p w14:paraId="3680DECB" w14:textId="77777777" w:rsidR="00760958" w:rsidRPr="00702BC5" w:rsidRDefault="00760958" w:rsidP="00694A36">
            <w:pPr>
              <w:rPr>
                <w:lang w:val="en-US" w:eastAsia="zh-CN"/>
              </w:rPr>
            </w:pPr>
            <w:r w:rsidRPr="00702BC5">
              <w:rPr>
                <w:lang w:val="en-US" w:eastAsia="zh-CN"/>
              </w:rPr>
              <w:t>Since there are two independent RF chains, the release 15 interband CA interruption requirements framework can be reused. Exact values can be discussed but we do not expect longer interruption when starting or stopping an FR2 RF chain given that  FR2 LO settling times in RAN4 have already been agreed to be 250us rather than 500us as for FR1.</w:t>
            </w:r>
          </w:p>
          <w:p w14:paraId="6D050F1E" w14:textId="63542026" w:rsidR="006C6754" w:rsidRPr="00702BC5" w:rsidRDefault="006C6754" w:rsidP="00694A36">
            <w:pPr>
              <w:rPr>
                <w:lang w:val="en-US" w:eastAsia="zh-CN"/>
              </w:rPr>
            </w:pPr>
            <w:r w:rsidRPr="00702BC5">
              <w:rPr>
                <w:lang w:val="en-US" w:eastAsia="zh-CN"/>
              </w:rPr>
              <w:t>This is consistent with the statement in the RRM way forward “</w:t>
            </w:r>
            <w:r w:rsidRPr="00702BC5">
              <w:rPr>
                <w:i/>
                <w:iCs/>
                <w:lang w:val="en-US" w:eastAsia="zh-CN"/>
              </w:rPr>
              <w:t>For a FR2 inter-band CA combination with using independent beam management, the existing interruption requirements for inter-band CA can be applied</w:t>
            </w:r>
            <w:r w:rsidRPr="00702BC5">
              <w:rPr>
                <w:lang w:val="en-US" w:eastAsia="zh-CN"/>
              </w:rPr>
              <w:t>”</w:t>
            </w:r>
          </w:p>
        </w:tc>
        <w:tc>
          <w:tcPr>
            <w:tcW w:w="3588" w:type="dxa"/>
            <w:shd w:val="clear" w:color="auto" w:fill="auto"/>
          </w:tcPr>
          <w:p w14:paraId="4BD2439F" w14:textId="77777777" w:rsidR="00760958" w:rsidRPr="00702BC5" w:rsidRDefault="006C6754" w:rsidP="00694A36">
            <w:pPr>
              <w:rPr>
                <w:lang w:val="en-US" w:eastAsia="zh-CN"/>
              </w:rPr>
            </w:pPr>
            <w:r w:rsidRPr="00702BC5">
              <w:rPr>
                <w:lang w:val="en-US" w:eastAsia="zh-CN"/>
              </w:rPr>
              <w:t>As independent RF chains are still assumed under hypothesis 1, starting or stopping one of the RF chains would result in release 15-like interband interruptions. There is assumed to be no AGC interaction and the gain of receiver chains can be set independently.</w:t>
            </w:r>
          </w:p>
          <w:p w14:paraId="66D26088" w14:textId="77777777" w:rsidR="006C6754" w:rsidRPr="00702BC5" w:rsidRDefault="006C6754" w:rsidP="00694A36">
            <w:pPr>
              <w:rPr>
                <w:lang w:val="en-US" w:eastAsia="zh-CN"/>
              </w:rPr>
            </w:pPr>
            <w:r w:rsidRPr="00702BC5">
              <w:rPr>
                <w:lang w:val="en-US" w:eastAsia="zh-CN"/>
              </w:rPr>
              <w:t>Hence the release 15 interband CA interruption requirements framework can be reused, and the interruption durations are likely to be the same for CBM and IBM UEs.</w:t>
            </w:r>
          </w:p>
          <w:p w14:paraId="7621E223" w14:textId="5A237B6B" w:rsidR="006C6754" w:rsidRPr="00702BC5" w:rsidRDefault="006C6754" w:rsidP="00694A36">
            <w:pPr>
              <w:rPr>
                <w:lang w:val="en-US" w:eastAsia="zh-CN"/>
              </w:rPr>
            </w:pPr>
            <w:r w:rsidRPr="00702BC5">
              <w:rPr>
                <w:lang w:val="en-US" w:eastAsia="zh-CN"/>
              </w:rPr>
              <w:t xml:space="preserve">This is consistent with the statement in the RRM WF </w:t>
            </w:r>
            <w:r w:rsidRPr="00702BC5">
              <w:rPr>
                <w:i/>
                <w:iCs/>
                <w:lang w:val="en-US" w:eastAsia="zh-CN"/>
              </w:rPr>
              <w:t>“If the separate RF chains are assumed for FR2 inter-band CA combination with using common beam management, the existing interruption requirements of inter-band CA can be applied.”</w:t>
            </w:r>
          </w:p>
        </w:tc>
      </w:tr>
      <w:tr w:rsidR="00760958" w:rsidRPr="00702BC5" w14:paraId="23B882F2" w14:textId="77777777" w:rsidTr="00702BC5">
        <w:tc>
          <w:tcPr>
            <w:tcW w:w="3587" w:type="dxa"/>
            <w:shd w:val="clear" w:color="auto" w:fill="auto"/>
          </w:tcPr>
          <w:p w14:paraId="090E7A66" w14:textId="4C9FA92F" w:rsidR="00760958" w:rsidRPr="00702BC5" w:rsidRDefault="006C6754" w:rsidP="00694A36">
            <w:pPr>
              <w:rPr>
                <w:lang w:val="en-US" w:eastAsia="zh-CN"/>
              </w:rPr>
            </w:pPr>
            <w:r w:rsidRPr="00702BC5">
              <w:rPr>
                <w:lang w:val="en-US" w:eastAsia="zh-CN"/>
              </w:rPr>
              <w:lastRenderedPageBreak/>
              <w:t>Beam management</w:t>
            </w:r>
          </w:p>
        </w:tc>
        <w:tc>
          <w:tcPr>
            <w:tcW w:w="3588" w:type="dxa"/>
            <w:shd w:val="clear" w:color="auto" w:fill="auto"/>
          </w:tcPr>
          <w:p w14:paraId="2638FCCA" w14:textId="4F8ED5C4" w:rsidR="00760958" w:rsidRPr="00702BC5" w:rsidRDefault="006C6754" w:rsidP="00694A36">
            <w:pPr>
              <w:rPr>
                <w:lang w:val="en-US" w:eastAsia="zh-CN"/>
              </w:rPr>
            </w:pPr>
            <w:r w:rsidRPr="00702BC5">
              <w:rPr>
                <w:lang w:val="en-US" w:eastAsia="zh-CN"/>
              </w:rPr>
              <w:t>It should be noted that the NW may (</w:t>
            </w:r>
            <w:r w:rsidR="006E2EA3" w:rsidRPr="00702BC5">
              <w:rPr>
                <w:lang w:val="en-US" w:eastAsia="zh-CN"/>
              </w:rPr>
              <w:t>e.g.</w:t>
            </w:r>
            <w:r w:rsidRPr="00702BC5">
              <w:rPr>
                <w:lang w:val="en-US" w:eastAsia="zh-CN"/>
              </w:rPr>
              <w:t xml:space="preserve"> in case of collocated </w:t>
            </w:r>
            <w:r w:rsidR="006E2EA3" w:rsidRPr="00702BC5">
              <w:rPr>
                <w:lang w:val="en-US" w:eastAsia="zh-CN"/>
              </w:rPr>
              <w:t>deployment</w:t>
            </w:r>
            <w:r w:rsidRPr="00702BC5">
              <w:rPr>
                <w:lang w:val="en-US" w:eastAsia="zh-CN"/>
              </w:rPr>
              <w:t>) configure an IBM capable UE without exploiting its IBM capabilities (i.e. configure BM to work in a CBM-like manner).</w:t>
            </w:r>
          </w:p>
          <w:p w14:paraId="6D6D0860" w14:textId="56C30A24" w:rsidR="006C6754" w:rsidRPr="00702BC5" w:rsidRDefault="006C6754" w:rsidP="00694A36">
            <w:pPr>
              <w:rPr>
                <w:lang w:val="en-US" w:eastAsia="zh-CN"/>
              </w:rPr>
            </w:pPr>
            <w:r w:rsidRPr="00702BC5">
              <w:rPr>
                <w:lang w:val="en-US" w:eastAsia="zh-CN"/>
              </w:rPr>
              <w:t>To exploit the IBM features  the agreements in the WF are necessary</w:t>
            </w:r>
          </w:p>
          <w:p w14:paraId="61161EB5" w14:textId="77777777" w:rsidR="006C6754" w:rsidRPr="006C6754" w:rsidRDefault="006C6754" w:rsidP="006C6754">
            <w:pPr>
              <w:rPr>
                <w:i/>
                <w:iCs/>
                <w:lang w:val="en-US" w:eastAsia="zh-CN"/>
              </w:rPr>
            </w:pPr>
            <w:r w:rsidRPr="006C6754">
              <w:rPr>
                <w:i/>
                <w:iCs/>
                <w:lang w:val="en-US" w:eastAsia="zh-CN"/>
              </w:rPr>
              <w:t>For BFD/CBD on PCell/PSCell</w:t>
            </w:r>
          </w:p>
          <w:p w14:paraId="28A4EDE8" w14:textId="77777777" w:rsidR="006C6754" w:rsidRPr="006C6754" w:rsidRDefault="006C6754" w:rsidP="006C6754">
            <w:pPr>
              <w:rPr>
                <w:i/>
                <w:iCs/>
                <w:lang w:val="en-US" w:eastAsia="zh-CN"/>
              </w:rPr>
            </w:pPr>
            <w:r w:rsidRPr="006C6754">
              <w:rPr>
                <w:i/>
                <w:iCs/>
                <w:lang w:val="en-US" w:eastAsia="zh-CN"/>
              </w:rPr>
              <w:t>R15 BFD/CBD measurement requirements in FR2 can be applied for FR2 inter-band CA scenario.</w:t>
            </w:r>
          </w:p>
          <w:p w14:paraId="5A47A330" w14:textId="77777777" w:rsidR="006C6754" w:rsidRPr="006C6754" w:rsidRDefault="006C6754" w:rsidP="006C6754">
            <w:pPr>
              <w:rPr>
                <w:i/>
                <w:iCs/>
                <w:lang w:val="en-US" w:eastAsia="zh-CN"/>
              </w:rPr>
            </w:pPr>
            <w:r w:rsidRPr="006C6754">
              <w:rPr>
                <w:i/>
                <w:iCs/>
                <w:lang w:val="en-US" w:eastAsia="zh-CN"/>
              </w:rPr>
              <w:t>For BFD/CBD on SCell</w:t>
            </w:r>
          </w:p>
          <w:p w14:paraId="094C5457" w14:textId="77777777" w:rsidR="006C6754" w:rsidRPr="006C6754" w:rsidRDefault="006C6754" w:rsidP="006C6754">
            <w:pPr>
              <w:rPr>
                <w:i/>
                <w:iCs/>
                <w:lang w:val="en-US" w:eastAsia="zh-CN"/>
              </w:rPr>
            </w:pPr>
            <w:r w:rsidRPr="006C6754">
              <w:rPr>
                <w:i/>
                <w:iCs/>
                <w:lang w:val="en-US" w:eastAsia="zh-CN"/>
              </w:rPr>
              <w:t>RAN4 to use SCell BFD/CBD requirements as being defined in eMIMO WID as baseline.</w:t>
            </w:r>
          </w:p>
          <w:p w14:paraId="504C304C" w14:textId="77777777" w:rsidR="006C6754" w:rsidRPr="006C6754" w:rsidRDefault="006C6754" w:rsidP="006C6754">
            <w:pPr>
              <w:rPr>
                <w:i/>
                <w:iCs/>
                <w:lang w:val="en-US" w:eastAsia="zh-CN"/>
              </w:rPr>
            </w:pPr>
            <w:r w:rsidRPr="006C6754">
              <w:rPr>
                <w:i/>
                <w:iCs/>
                <w:lang w:val="en-US" w:eastAsia="zh-CN"/>
              </w:rPr>
              <w:t>For L1-RSRP reporting.</w:t>
            </w:r>
          </w:p>
          <w:p w14:paraId="0B7A3E93" w14:textId="15E5B146" w:rsidR="006C6754" w:rsidRPr="00702BC5" w:rsidRDefault="006C6754" w:rsidP="006C6754">
            <w:pPr>
              <w:rPr>
                <w:lang w:val="en-US" w:eastAsia="zh-CN"/>
              </w:rPr>
            </w:pPr>
            <w:r w:rsidRPr="00702BC5">
              <w:rPr>
                <w:i/>
                <w:iCs/>
                <w:lang w:val="en-US" w:eastAsia="zh-CN"/>
              </w:rPr>
              <w:t>R15 L1-RSRP measurement requirements in FR2 can applied for FR2 inter-band CA scenario.</w:t>
            </w:r>
          </w:p>
        </w:tc>
        <w:tc>
          <w:tcPr>
            <w:tcW w:w="3588" w:type="dxa"/>
            <w:shd w:val="clear" w:color="auto" w:fill="auto"/>
          </w:tcPr>
          <w:p w14:paraId="653FF59B" w14:textId="77777777" w:rsidR="00760958" w:rsidRPr="00702BC5" w:rsidRDefault="006C6754" w:rsidP="00694A36">
            <w:pPr>
              <w:rPr>
                <w:lang w:val="en-US" w:eastAsia="zh-CN"/>
              </w:rPr>
            </w:pPr>
            <w:r w:rsidRPr="00702BC5">
              <w:rPr>
                <w:lang w:val="en-US" w:eastAsia="zh-CN"/>
              </w:rPr>
              <w:t>The main open issue is whether BFD/CBD is necessary on SCells. If CBM is used on 28+39GHz, the coverage of 28GHZ and 39GHz could be different, so it appears necessary for the UE to be able to perform BFD and CBD on each beam. L1 RSRP reporting on each band also appears beneficial, since it may not always be the PCell which has the most limited coverage.</w:t>
            </w:r>
          </w:p>
          <w:p w14:paraId="002E184E" w14:textId="77777777" w:rsidR="0098484D" w:rsidRPr="00702BC5" w:rsidRDefault="006C6754" w:rsidP="00694A36">
            <w:pPr>
              <w:rPr>
                <w:lang w:val="en-US" w:eastAsia="zh-CN"/>
              </w:rPr>
            </w:pPr>
            <w:r w:rsidRPr="00702BC5">
              <w:rPr>
                <w:lang w:val="en-US" w:eastAsia="zh-CN"/>
              </w:rPr>
              <w:t>We do not see any technical limitation why a CBM UE cannot perfor</w:t>
            </w:r>
            <w:r w:rsidR="0098484D" w:rsidRPr="00702BC5">
              <w:rPr>
                <w:lang w:val="en-US" w:eastAsia="zh-CN"/>
              </w:rPr>
              <w:t>med</w:t>
            </w:r>
          </w:p>
          <w:p w14:paraId="57A9D4A7" w14:textId="77777777" w:rsidR="006C6754" w:rsidRPr="00702BC5" w:rsidRDefault="0098484D" w:rsidP="00694A36">
            <w:pPr>
              <w:rPr>
                <w:b/>
                <w:bCs/>
                <w:lang w:val="en-US" w:eastAsia="zh-CN"/>
              </w:rPr>
            </w:pPr>
            <w:r w:rsidRPr="00702BC5">
              <w:rPr>
                <w:b/>
                <w:bCs/>
                <w:lang w:val="en-US" w:eastAsia="zh-CN"/>
              </w:rPr>
              <w:t>Proposal 1 : CBD UE performs BFD/CBD on Scell based on requirements being defined in eMIMO WI.</w:t>
            </w:r>
          </w:p>
          <w:p w14:paraId="6BBF449F" w14:textId="5A6E729F" w:rsidR="0098484D" w:rsidRPr="00702BC5" w:rsidRDefault="00737E09" w:rsidP="00694A36">
            <w:pPr>
              <w:rPr>
                <w:lang w:val="en-US" w:eastAsia="zh-CN"/>
              </w:rPr>
            </w:pPr>
            <w:r w:rsidRPr="00702BC5">
              <w:rPr>
                <w:b/>
                <w:bCs/>
                <w:lang w:val="en-US" w:eastAsia="zh-CN"/>
              </w:rPr>
              <w:t>Proposal</w:t>
            </w:r>
            <w:r w:rsidR="0098484D" w:rsidRPr="00702BC5">
              <w:rPr>
                <w:b/>
                <w:bCs/>
                <w:lang w:val="en-US" w:eastAsia="zh-CN"/>
              </w:rPr>
              <w:t xml:space="preserve"> 2 : CBD UE performs L1-RSRP reporting on SCells according to R15 measurement requirements.</w:t>
            </w:r>
          </w:p>
        </w:tc>
      </w:tr>
      <w:tr w:rsidR="00760958" w:rsidRPr="00702BC5" w14:paraId="6EFD125E" w14:textId="77777777" w:rsidTr="00702BC5">
        <w:tc>
          <w:tcPr>
            <w:tcW w:w="3587" w:type="dxa"/>
            <w:shd w:val="clear" w:color="auto" w:fill="auto"/>
          </w:tcPr>
          <w:p w14:paraId="78844910" w14:textId="16F4F087" w:rsidR="00760958" w:rsidRPr="00702BC5" w:rsidRDefault="00921FA8" w:rsidP="00694A36">
            <w:pPr>
              <w:rPr>
                <w:lang w:val="en-US" w:eastAsia="zh-CN"/>
              </w:rPr>
            </w:pPr>
            <w:r w:rsidRPr="00702BC5">
              <w:rPr>
                <w:lang w:val="en-US" w:eastAsia="zh-CN"/>
              </w:rPr>
              <w:t xml:space="preserve">Scheduling </w:t>
            </w:r>
            <w:r w:rsidR="00015313" w:rsidRPr="00702BC5">
              <w:rPr>
                <w:lang w:val="en-US" w:eastAsia="zh-CN"/>
              </w:rPr>
              <w:t>availability</w:t>
            </w:r>
          </w:p>
        </w:tc>
        <w:tc>
          <w:tcPr>
            <w:tcW w:w="3588" w:type="dxa"/>
            <w:shd w:val="clear" w:color="auto" w:fill="auto"/>
          </w:tcPr>
          <w:p w14:paraId="4EDF785F" w14:textId="18E7D215" w:rsidR="00197025" w:rsidRPr="00702BC5" w:rsidRDefault="00197025" w:rsidP="00694A36">
            <w:pPr>
              <w:rPr>
                <w:lang w:val="en-US" w:eastAsia="zh-CN"/>
              </w:rPr>
            </w:pPr>
            <w:r w:rsidRPr="00702BC5">
              <w:rPr>
                <w:lang w:val="en-US" w:eastAsia="zh-CN"/>
              </w:rPr>
              <w:t>From RF perspective the way forward already indicates there should be no scheduling restrictions of band X from measurements on band Y and vice versa. The main open issues relate to baseband and procedures and whether there is a scheduling restriction arising from different numerologies or collision between UL and DL transmission.</w:t>
            </w:r>
          </w:p>
          <w:p w14:paraId="0BC80CAA" w14:textId="3885C607" w:rsidR="00197025" w:rsidRPr="00702BC5" w:rsidRDefault="00197025" w:rsidP="00694A36">
            <w:pPr>
              <w:rPr>
                <w:lang w:val="en-US" w:eastAsia="zh-CN"/>
              </w:rPr>
            </w:pPr>
            <w:r w:rsidRPr="00702BC5">
              <w:rPr>
                <w:lang w:val="en-US" w:eastAsia="zh-CN"/>
              </w:rPr>
              <w:t>For different numerologies, independent sampling and FFT will be used per band. So we see no need for scheduling restrictions between bands related to different numerologies</w:t>
            </w:r>
            <w:r w:rsidR="00015313" w:rsidRPr="00702BC5">
              <w:rPr>
                <w:lang w:val="en-US" w:eastAsia="zh-CN"/>
              </w:rPr>
              <w:t xml:space="preserve"> on the bands</w:t>
            </w:r>
            <w:r w:rsidRPr="00702BC5">
              <w:rPr>
                <w:lang w:val="en-US" w:eastAsia="zh-CN"/>
              </w:rPr>
              <w:t>.</w:t>
            </w:r>
          </w:p>
          <w:p w14:paraId="070E3A4B" w14:textId="06E0BD75" w:rsidR="00197025" w:rsidRPr="00702BC5" w:rsidRDefault="00197025" w:rsidP="00694A36">
            <w:pPr>
              <w:rPr>
                <w:lang w:val="en-US" w:eastAsia="zh-CN"/>
              </w:rPr>
            </w:pPr>
            <w:r w:rsidRPr="00702BC5">
              <w:rPr>
                <w:lang w:val="en-US" w:eastAsia="zh-CN"/>
              </w:rPr>
              <w:t xml:space="preserve">For collision between UL and DL transmission </w:t>
            </w:r>
            <w:r w:rsidR="00015313" w:rsidRPr="00702BC5">
              <w:rPr>
                <w:lang w:val="en-US" w:eastAsia="zh-CN"/>
              </w:rPr>
              <w:t>we see no specific need to prevent transmission on band X UL if the UE is receiving DL on band Y. If it is known that the uplink will cause interference to the downlink, gNB scheduling should take care of the issue. At any rate, this issue is about data transmission and reception and is more of an RF than RRM issue.</w:t>
            </w:r>
          </w:p>
          <w:p w14:paraId="2AEAB628" w14:textId="3118A111" w:rsidR="00015313" w:rsidRPr="00702BC5" w:rsidRDefault="00015313" w:rsidP="00694A36">
            <w:pPr>
              <w:rPr>
                <w:b/>
                <w:bCs/>
                <w:lang w:val="en-US" w:eastAsia="zh-CN"/>
              </w:rPr>
            </w:pPr>
            <w:r w:rsidRPr="00702BC5">
              <w:rPr>
                <w:b/>
                <w:bCs/>
                <w:lang w:val="en-US" w:eastAsia="zh-CN"/>
              </w:rPr>
              <w:t xml:space="preserve">Proposal 3 : </w:t>
            </w:r>
          </w:p>
          <w:p w14:paraId="5E0D7AAF" w14:textId="1B819E71" w:rsidR="00015313" w:rsidRPr="00015313" w:rsidRDefault="00015313" w:rsidP="00015313">
            <w:pPr>
              <w:rPr>
                <w:b/>
                <w:bCs/>
                <w:lang w:val="en-US" w:eastAsia="zh-CN"/>
              </w:rPr>
            </w:pPr>
            <w:r w:rsidRPr="00702BC5">
              <w:rPr>
                <w:b/>
                <w:bCs/>
                <w:lang w:val="en-US" w:eastAsia="zh-CN"/>
              </w:rPr>
              <w:t>For IBM t</w:t>
            </w:r>
            <w:r w:rsidRPr="00015313">
              <w:rPr>
                <w:b/>
                <w:bCs/>
                <w:lang w:val="en-US" w:eastAsia="zh-CN"/>
              </w:rPr>
              <w:t>here are no scheduling restrictions on one FR2 band due to RLM/BFD/CBD/L1-RSRP measurements being performed on another FR2 band.</w:t>
            </w:r>
          </w:p>
          <w:p w14:paraId="113BCD6A" w14:textId="46287B5E" w:rsidR="00015313" w:rsidRPr="00702BC5" w:rsidRDefault="00015313" w:rsidP="00015313">
            <w:pPr>
              <w:rPr>
                <w:b/>
                <w:bCs/>
                <w:lang w:val="en-US" w:eastAsia="zh-CN"/>
              </w:rPr>
            </w:pPr>
            <w:r w:rsidRPr="00702BC5">
              <w:rPr>
                <w:b/>
                <w:bCs/>
                <w:lang w:val="en-US" w:eastAsia="zh-CN"/>
              </w:rPr>
              <w:t xml:space="preserve">The scheduling availability </w:t>
            </w:r>
            <w:r w:rsidRPr="00702BC5">
              <w:rPr>
                <w:b/>
                <w:bCs/>
                <w:lang w:val="en-US" w:eastAsia="zh-CN"/>
              </w:rPr>
              <w:lastRenderedPageBreak/>
              <w:t>requirements for FR2 inter-band CA scenario shall be introduced to clarify there is no scheduling restriction if UE uses independent beam.</w:t>
            </w:r>
          </w:p>
          <w:p w14:paraId="05F3F223" w14:textId="68B5E8F5" w:rsidR="00197025" w:rsidRPr="00702BC5" w:rsidRDefault="00197025" w:rsidP="00694A36">
            <w:pPr>
              <w:rPr>
                <w:lang w:val="en-US" w:eastAsia="zh-CN"/>
              </w:rPr>
            </w:pPr>
          </w:p>
        </w:tc>
        <w:tc>
          <w:tcPr>
            <w:tcW w:w="3588" w:type="dxa"/>
            <w:shd w:val="clear" w:color="auto" w:fill="auto"/>
          </w:tcPr>
          <w:p w14:paraId="49C2499F" w14:textId="77777777" w:rsidR="00015313" w:rsidRPr="00702BC5" w:rsidRDefault="00015313" w:rsidP="00015313">
            <w:pPr>
              <w:rPr>
                <w:i/>
                <w:iCs/>
                <w:lang w:val="en-US" w:eastAsia="zh-CN"/>
              </w:rPr>
            </w:pPr>
            <w:r w:rsidRPr="00702BC5">
              <w:rPr>
                <w:lang w:val="en-US" w:eastAsia="zh-CN"/>
              </w:rPr>
              <w:lastRenderedPageBreak/>
              <w:t xml:space="preserve">For CBD UE, it is clear that there need to be scheduling restrictions. The scheduling restrictions are essentially the same as for intra-band CA operation. This is consistent with the way forward already agreed </w:t>
            </w:r>
            <w:r w:rsidRPr="00702BC5">
              <w:rPr>
                <w:i/>
                <w:iCs/>
                <w:lang w:val="en-US"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7A9CDDFC" w14:textId="3EB91F48" w:rsidR="00760958" w:rsidRPr="00702BC5" w:rsidRDefault="00015313" w:rsidP="00015313">
            <w:pPr>
              <w:rPr>
                <w:lang w:val="en-US" w:eastAsia="zh-CN"/>
              </w:rPr>
            </w:pPr>
            <w:r w:rsidRPr="00702BC5">
              <w:rPr>
                <w:i/>
                <w:iCs/>
                <w:lang w:val="en-US" w:eastAsia="zh-CN"/>
              </w:rPr>
              <w:t>The existing scheduling restriction requirements on FR2 shall be extended to serving cells in different bands.”</w:t>
            </w:r>
          </w:p>
        </w:tc>
      </w:tr>
      <w:tr w:rsidR="00760958" w:rsidRPr="00702BC5" w14:paraId="6B0DFA49" w14:textId="77777777" w:rsidTr="00702BC5">
        <w:tc>
          <w:tcPr>
            <w:tcW w:w="3587" w:type="dxa"/>
            <w:shd w:val="clear" w:color="auto" w:fill="auto"/>
          </w:tcPr>
          <w:p w14:paraId="7DB689DE" w14:textId="1928A20F" w:rsidR="00760958" w:rsidRPr="00702BC5" w:rsidRDefault="00921FA8" w:rsidP="00694A36">
            <w:pPr>
              <w:rPr>
                <w:lang w:val="en-US" w:eastAsia="zh-CN"/>
              </w:rPr>
            </w:pPr>
            <w:r w:rsidRPr="00702BC5">
              <w:rPr>
                <w:lang w:val="en-US" w:eastAsia="zh-CN"/>
              </w:rPr>
              <w:t>Measurement restrictions</w:t>
            </w:r>
          </w:p>
        </w:tc>
        <w:tc>
          <w:tcPr>
            <w:tcW w:w="3588" w:type="dxa"/>
            <w:shd w:val="clear" w:color="auto" w:fill="auto"/>
          </w:tcPr>
          <w:p w14:paraId="443CCD39" w14:textId="77777777" w:rsidR="00760958" w:rsidRPr="00702BC5" w:rsidRDefault="00015313" w:rsidP="00694A36">
            <w:pPr>
              <w:rPr>
                <w:lang w:val="en-US" w:eastAsia="zh-CN"/>
              </w:rPr>
            </w:pPr>
            <w:r w:rsidRPr="00702BC5">
              <w:rPr>
                <w:lang w:val="en-US" w:eastAsia="zh-CN"/>
              </w:rPr>
              <w:t>No measurement restrictions should be necessary for IBM UE</w:t>
            </w:r>
          </w:p>
          <w:p w14:paraId="5ED4153D" w14:textId="77365FD8" w:rsidR="00015313" w:rsidRPr="00702BC5" w:rsidRDefault="00015313" w:rsidP="00694A36">
            <w:pPr>
              <w:rPr>
                <w:b/>
                <w:bCs/>
                <w:lang w:val="en-US" w:eastAsia="zh-CN"/>
              </w:rPr>
            </w:pPr>
            <w:r w:rsidRPr="00702BC5">
              <w:rPr>
                <w:b/>
                <w:bCs/>
                <w:lang w:val="en-US" w:eastAsia="zh-CN"/>
              </w:rPr>
              <w:t>Proposal 4 : No measurement restrictions are specified between bands for IBM UE</w:t>
            </w:r>
          </w:p>
        </w:tc>
        <w:tc>
          <w:tcPr>
            <w:tcW w:w="3588" w:type="dxa"/>
            <w:shd w:val="clear" w:color="auto" w:fill="auto"/>
          </w:tcPr>
          <w:p w14:paraId="1F81422B" w14:textId="77777777" w:rsidR="00FB60CF" w:rsidRPr="00702BC5" w:rsidRDefault="00FB60CF" w:rsidP="00FB60CF">
            <w:pPr>
              <w:rPr>
                <w:lang w:val="en-US" w:eastAsia="zh-CN"/>
              </w:rPr>
            </w:pPr>
            <w:r w:rsidRPr="00702BC5">
              <w:rPr>
                <w:lang w:val="en-US" w:eastAsia="zh-CN"/>
              </w:rPr>
              <w:t>The open issue is whether measurement restrictions are needed when Transmission points of each FR2 band are co-located.</w:t>
            </w:r>
          </w:p>
          <w:p w14:paraId="3CD437E6" w14:textId="77777777" w:rsidR="00FB60CF" w:rsidRPr="00FB60CF" w:rsidRDefault="00FB60CF" w:rsidP="00FB60CF">
            <w:pPr>
              <w:rPr>
                <w:lang w:val="en-US" w:eastAsia="zh-CN"/>
              </w:rPr>
            </w:pPr>
            <w:r w:rsidRPr="00FB60CF">
              <w:rPr>
                <w:lang w:val="en-US" w:eastAsia="zh-CN"/>
              </w:rPr>
              <w:t>FFS whether QCL type D between measurement resources of each band is needed.</w:t>
            </w:r>
          </w:p>
          <w:p w14:paraId="1D369493" w14:textId="77777777" w:rsidR="00760958" w:rsidRPr="00702BC5" w:rsidRDefault="00FB60CF" w:rsidP="00FB60CF">
            <w:pPr>
              <w:rPr>
                <w:lang w:val="en-US" w:eastAsia="zh-CN"/>
              </w:rPr>
            </w:pPr>
            <w:r w:rsidRPr="00702BC5">
              <w:rPr>
                <w:lang w:val="en-US" w:eastAsia="zh-CN"/>
              </w:rPr>
              <w:t>Time domain allocation of each measurement RS is partially or fully overlapped.</w:t>
            </w:r>
          </w:p>
          <w:p w14:paraId="30373B0E" w14:textId="77777777" w:rsidR="000F5855" w:rsidRPr="00702BC5" w:rsidRDefault="000F5855" w:rsidP="00FB60CF">
            <w:pPr>
              <w:rPr>
                <w:lang w:val="en-US" w:eastAsia="zh-CN"/>
              </w:rPr>
            </w:pPr>
            <w:r w:rsidRPr="00702BC5">
              <w:rPr>
                <w:lang w:val="en-US" w:eastAsia="zh-CN"/>
              </w:rPr>
              <w:t>Since the CBM UE has a possibility to beamform in a single direction for both bands, we think QCL type D (common spatial receive parameters) is necessary when measurement restrictions are not needed.</w:t>
            </w:r>
          </w:p>
          <w:p w14:paraId="093FAE4A" w14:textId="667709CA" w:rsidR="000F5855" w:rsidRPr="00702BC5" w:rsidRDefault="000F5855" w:rsidP="00FB60CF">
            <w:pPr>
              <w:rPr>
                <w:b/>
                <w:bCs/>
                <w:lang w:val="en-US" w:eastAsia="zh-CN"/>
              </w:rPr>
            </w:pPr>
            <w:r w:rsidRPr="00702BC5">
              <w:rPr>
                <w:b/>
                <w:bCs/>
                <w:lang w:val="en-US" w:eastAsia="zh-CN"/>
              </w:rPr>
              <w:t>Proposal 5 : Measurement restrictions are needed for CBM UE unless QCL type D applies between measurement resources on each band</w:t>
            </w:r>
          </w:p>
        </w:tc>
      </w:tr>
      <w:tr w:rsidR="00760958" w:rsidRPr="00702BC5" w14:paraId="57C9E2CF" w14:textId="77777777" w:rsidTr="00702BC5">
        <w:tc>
          <w:tcPr>
            <w:tcW w:w="3587" w:type="dxa"/>
            <w:shd w:val="clear" w:color="auto" w:fill="auto"/>
          </w:tcPr>
          <w:p w14:paraId="1247C592" w14:textId="694D3ECF" w:rsidR="00760958" w:rsidRPr="00702BC5" w:rsidRDefault="00921FA8" w:rsidP="00694A36">
            <w:pPr>
              <w:rPr>
                <w:lang w:val="en-US" w:eastAsia="zh-CN"/>
              </w:rPr>
            </w:pPr>
            <w:r w:rsidRPr="00702BC5">
              <w:rPr>
                <w:lang w:val="en-US" w:eastAsia="zh-CN"/>
              </w:rPr>
              <w:t>Scell activation/deactivation</w:t>
            </w:r>
          </w:p>
        </w:tc>
        <w:tc>
          <w:tcPr>
            <w:tcW w:w="3588" w:type="dxa"/>
            <w:shd w:val="clear" w:color="auto" w:fill="auto"/>
          </w:tcPr>
          <w:p w14:paraId="6C1B9F07" w14:textId="77777777" w:rsidR="00760958" w:rsidRPr="00702BC5" w:rsidRDefault="005A6E5C" w:rsidP="00694A36">
            <w:pPr>
              <w:rPr>
                <w:lang w:val="en-US" w:eastAsia="zh-CN"/>
              </w:rPr>
            </w:pPr>
            <w:r w:rsidRPr="00702BC5">
              <w:rPr>
                <w:lang w:val="en-US" w:eastAsia="zh-CN"/>
              </w:rPr>
              <w:t>Case 1 is agreed already in WF</w:t>
            </w:r>
          </w:p>
          <w:p w14:paraId="1D96305E" w14:textId="77777777" w:rsidR="005A6E5C" w:rsidRPr="005A6E5C" w:rsidRDefault="005A6E5C" w:rsidP="005A6E5C">
            <w:pPr>
              <w:rPr>
                <w:i/>
                <w:iCs/>
                <w:lang w:val="en-US" w:eastAsia="zh-CN"/>
              </w:rPr>
            </w:pPr>
            <w:r w:rsidRPr="005A6E5C">
              <w:rPr>
                <w:i/>
                <w:iCs/>
                <w:lang w:val="en-US" w:eastAsia="zh-CN"/>
              </w:rPr>
              <w:t>SCell activation requirement for case 1: SCell being activated belongs to FR2 and if there is at least one active serving cell on that FR2 band</w:t>
            </w:r>
          </w:p>
          <w:p w14:paraId="15CDE105" w14:textId="77777777" w:rsidR="005A6E5C" w:rsidRPr="00702BC5" w:rsidRDefault="005A6E5C" w:rsidP="005A6E5C">
            <w:pPr>
              <w:rPr>
                <w:i/>
                <w:iCs/>
                <w:lang w:val="en-US" w:eastAsia="zh-CN"/>
              </w:rPr>
            </w:pPr>
            <w:r w:rsidRPr="00702BC5">
              <w:rPr>
                <w:i/>
                <w:iCs/>
                <w:lang w:val="en-US" w:eastAsia="zh-CN"/>
              </w:rPr>
              <w:t>The existing SCell activation delay requirements in case of “SCell being activated belongs to FR2 and if there is at least one active serving cell on that FR2 band” can be reused for FR2 inter-band CA.</w:t>
            </w:r>
          </w:p>
          <w:p w14:paraId="1E148BFA" w14:textId="77777777" w:rsidR="005A6E5C" w:rsidRPr="00702BC5" w:rsidRDefault="005A6E5C" w:rsidP="005A6E5C">
            <w:pPr>
              <w:rPr>
                <w:lang w:val="en-US" w:eastAsia="zh-CN"/>
              </w:rPr>
            </w:pPr>
            <w:r w:rsidRPr="00702BC5">
              <w:rPr>
                <w:lang w:val="en-US" w:eastAsia="zh-CN"/>
              </w:rPr>
              <w:t>Case 2 is already agreed in the WF</w:t>
            </w:r>
          </w:p>
          <w:p w14:paraId="24841B61" w14:textId="77777777" w:rsidR="005A6E5C" w:rsidRPr="005A6E5C" w:rsidRDefault="005A6E5C" w:rsidP="005A6E5C">
            <w:pPr>
              <w:rPr>
                <w:i/>
                <w:iCs/>
                <w:lang w:val="en-US" w:eastAsia="zh-CN"/>
              </w:rPr>
            </w:pPr>
            <w:r w:rsidRPr="005A6E5C">
              <w:rPr>
                <w:i/>
                <w:iCs/>
                <w:lang w:val="en-US" w:eastAsia="zh-CN"/>
              </w:rPr>
              <w:t>SCell activation requirement for case 2: SCell being activated belongs to FR2 and if there is no active serving cell on that FR2 band provided that PCell or PSCell is FR2</w:t>
            </w:r>
          </w:p>
          <w:p w14:paraId="7B1B136E" w14:textId="77777777" w:rsidR="005A6E5C" w:rsidRPr="005A6E5C" w:rsidRDefault="005A6E5C" w:rsidP="005A6E5C">
            <w:pPr>
              <w:rPr>
                <w:i/>
                <w:iCs/>
                <w:lang w:val="en-US" w:eastAsia="zh-CN"/>
              </w:rPr>
            </w:pPr>
            <w:r w:rsidRPr="005A6E5C">
              <w:rPr>
                <w:i/>
                <w:iCs/>
                <w:lang w:val="en-US" w:eastAsia="zh-CN"/>
              </w:rPr>
              <w:t xml:space="preserve">For FR2 inter-band CA combination with independent beam. </w:t>
            </w:r>
          </w:p>
          <w:p w14:paraId="6673400A" w14:textId="58C54FD5" w:rsidR="005A6E5C" w:rsidRPr="00702BC5" w:rsidRDefault="005A6E5C" w:rsidP="005A6E5C">
            <w:pPr>
              <w:rPr>
                <w:lang w:val="en-US" w:eastAsia="zh-CN"/>
              </w:rPr>
            </w:pPr>
            <w:r w:rsidRPr="00702BC5">
              <w:rPr>
                <w:i/>
                <w:iCs/>
                <w:lang w:val="en-US" w:eastAsia="zh-CN"/>
              </w:rPr>
              <w:t>The existing requirement of “SCell being activated belongs to FR2 and if there is no active serving cell on that FR2 band provided that PCell or PSCell is FR1” can be applied.</w:t>
            </w:r>
          </w:p>
        </w:tc>
        <w:tc>
          <w:tcPr>
            <w:tcW w:w="3588" w:type="dxa"/>
            <w:shd w:val="clear" w:color="auto" w:fill="auto"/>
          </w:tcPr>
          <w:p w14:paraId="21C00E93" w14:textId="77777777" w:rsidR="00760958" w:rsidRPr="00702BC5" w:rsidRDefault="005A6E5C" w:rsidP="00694A36">
            <w:pPr>
              <w:rPr>
                <w:lang w:val="en-US" w:eastAsia="zh-CN"/>
              </w:rPr>
            </w:pPr>
            <w:r w:rsidRPr="00702BC5">
              <w:rPr>
                <w:lang w:val="en-US" w:eastAsia="zh-CN"/>
              </w:rPr>
              <w:t>Case 1 is agreed already in WF</w:t>
            </w:r>
          </w:p>
          <w:p w14:paraId="139819A7" w14:textId="77777777" w:rsidR="005A6E5C" w:rsidRPr="005A6E5C" w:rsidRDefault="005A6E5C" w:rsidP="005A6E5C">
            <w:pPr>
              <w:rPr>
                <w:i/>
                <w:iCs/>
                <w:lang w:val="en-US" w:eastAsia="zh-CN"/>
              </w:rPr>
            </w:pPr>
            <w:r w:rsidRPr="005A6E5C">
              <w:rPr>
                <w:i/>
                <w:iCs/>
                <w:lang w:val="en-US" w:eastAsia="zh-CN"/>
              </w:rPr>
              <w:t>SCell activation requirement for case 1: SCell being activated belongs to FR2 and if there is at least one active serving cell on that FR2 band</w:t>
            </w:r>
          </w:p>
          <w:p w14:paraId="72EDC63B" w14:textId="77777777" w:rsidR="005A6E5C" w:rsidRPr="00702BC5" w:rsidRDefault="005A6E5C" w:rsidP="005A6E5C">
            <w:pPr>
              <w:rPr>
                <w:i/>
                <w:iCs/>
                <w:lang w:val="en-US" w:eastAsia="zh-CN"/>
              </w:rPr>
            </w:pPr>
            <w:r w:rsidRPr="00702BC5">
              <w:rPr>
                <w:i/>
                <w:iCs/>
                <w:lang w:val="en-US" w:eastAsia="zh-CN"/>
              </w:rPr>
              <w:t>The existing SCell activation delay requirements in case of “SCell being activated belongs to FR2 and if there is at least one active serving cell on that FR2 band” can be reused for FR2 inter-band CA.</w:t>
            </w:r>
          </w:p>
          <w:p w14:paraId="4729DC75" w14:textId="612375D9" w:rsidR="005A6E5C" w:rsidRPr="00702BC5" w:rsidRDefault="005A6E5C" w:rsidP="005A6E5C">
            <w:pPr>
              <w:rPr>
                <w:lang w:val="en-US" w:eastAsia="zh-CN"/>
              </w:rPr>
            </w:pPr>
            <w:r w:rsidRPr="00702BC5">
              <w:rPr>
                <w:lang w:val="en-US" w:eastAsia="zh-CN"/>
              </w:rPr>
              <w:t>For case 2,</w:t>
            </w:r>
            <w:r w:rsidR="00DD54B9" w:rsidRPr="00702BC5">
              <w:rPr>
                <w:lang w:val="en-US" w:eastAsia="zh-CN"/>
              </w:rPr>
              <w:t xml:space="preserve"> the aspects that need to be studied are</w:t>
            </w:r>
          </w:p>
          <w:p w14:paraId="4313C9AA" w14:textId="77777777" w:rsidR="005A6E5C" w:rsidRPr="005A6E5C" w:rsidRDefault="005A6E5C" w:rsidP="005A6E5C">
            <w:pPr>
              <w:rPr>
                <w:i/>
                <w:iCs/>
                <w:lang w:val="en-US" w:eastAsia="zh-CN"/>
              </w:rPr>
            </w:pPr>
            <w:r w:rsidRPr="005A6E5C">
              <w:rPr>
                <w:i/>
                <w:iCs/>
                <w:lang w:val="en-US" w:eastAsia="zh-CN"/>
              </w:rPr>
              <w:t>The SCell activation delay for case 2 can be studied from the following aspects:</w:t>
            </w:r>
          </w:p>
          <w:p w14:paraId="692C5A2B" w14:textId="77777777" w:rsidR="005A6E5C" w:rsidRPr="005A6E5C" w:rsidRDefault="005A6E5C" w:rsidP="005A6E5C">
            <w:pPr>
              <w:rPr>
                <w:i/>
                <w:iCs/>
                <w:lang w:val="en-US" w:eastAsia="zh-CN"/>
              </w:rPr>
            </w:pPr>
            <w:r w:rsidRPr="005A6E5C">
              <w:rPr>
                <w:i/>
                <w:iCs/>
                <w:lang w:val="en-US" w:eastAsia="zh-CN"/>
              </w:rPr>
              <w:t>Whether AGC settling time need to be included.</w:t>
            </w:r>
          </w:p>
          <w:p w14:paraId="658C1489" w14:textId="77777777" w:rsidR="005A6E5C" w:rsidRPr="005A6E5C" w:rsidRDefault="005A6E5C" w:rsidP="005A6E5C">
            <w:pPr>
              <w:rPr>
                <w:i/>
                <w:iCs/>
                <w:lang w:val="en-US" w:eastAsia="zh-CN"/>
              </w:rPr>
            </w:pPr>
            <w:r w:rsidRPr="005A6E5C">
              <w:rPr>
                <w:i/>
                <w:iCs/>
                <w:lang w:val="en-US" w:eastAsia="zh-CN"/>
              </w:rPr>
              <w:t>Whether cell search time need to be included.</w:t>
            </w:r>
          </w:p>
          <w:p w14:paraId="76A4DA6F" w14:textId="77777777" w:rsidR="005A6E5C" w:rsidRPr="00702BC5" w:rsidRDefault="005A6E5C" w:rsidP="005A6E5C">
            <w:pPr>
              <w:rPr>
                <w:i/>
                <w:iCs/>
                <w:lang w:val="en-US" w:eastAsia="zh-CN"/>
              </w:rPr>
            </w:pPr>
            <w:r w:rsidRPr="00702BC5">
              <w:rPr>
                <w:i/>
                <w:iCs/>
                <w:lang w:val="en-US" w:eastAsia="zh-CN"/>
              </w:rPr>
              <w:t>Whether fine timing tracking delay need to be included.</w:t>
            </w:r>
          </w:p>
          <w:p w14:paraId="37982891" w14:textId="77777777" w:rsidR="00DD54B9" w:rsidRPr="00702BC5" w:rsidRDefault="00DD54B9" w:rsidP="005A6E5C">
            <w:pPr>
              <w:rPr>
                <w:lang w:val="en-US" w:eastAsia="zh-CN"/>
              </w:rPr>
            </w:pPr>
            <w:r w:rsidRPr="00702BC5">
              <w:rPr>
                <w:u w:val="single"/>
                <w:lang w:val="en-US" w:eastAsia="zh-CN"/>
              </w:rPr>
              <w:t>AGC settling</w:t>
            </w:r>
            <w:r w:rsidRPr="00702BC5">
              <w:rPr>
                <w:lang w:val="en-US" w:eastAsia="zh-CN"/>
              </w:rPr>
              <w:t xml:space="preserve"> : Since we assumed that common beam would have independent RF chains in hypothesis 1, AGC settling </w:t>
            </w:r>
            <w:r w:rsidRPr="00702BC5">
              <w:rPr>
                <w:lang w:val="en-US" w:eastAsia="zh-CN"/>
              </w:rPr>
              <w:lastRenderedPageBreak/>
              <w:t>time could be necessary. Although the band X and band Y nodes are assumed to be collocated, there is no assumption that the transmission power nor the pathloss is the same</w:t>
            </w:r>
          </w:p>
          <w:p w14:paraId="149BAB07" w14:textId="77777777" w:rsidR="00DD54B9" w:rsidRPr="00702BC5" w:rsidRDefault="00DD54B9" w:rsidP="005A6E5C">
            <w:pPr>
              <w:rPr>
                <w:lang w:val="en-US" w:eastAsia="zh-CN"/>
              </w:rPr>
            </w:pPr>
            <w:r w:rsidRPr="00702BC5">
              <w:rPr>
                <w:u w:val="single"/>
                <w:lang w:val="en-US" w:eastAsia="zh-CN"/>
              </w:rPr>
              <w:t>Need for cell search time:</w:t>
            </w:r>
            <w:r w:rsidRPr="00702BC5">
              <w:rPr>
                <w:lang w:val="en-US" w:eastAsia="zh-CN"/>
              </w:rPr>
              <w:t xml:space="preserve"> This can be further discussed when MRTD aspects of interband CA have been decided</w:t>
            </w:r>
          </w:p>
          <w:p w14:paraId="367AE658" w14:textId="77777777" w:rsidR="00DD54B9" w:rsidRPr="00702BC5" w:rsidRDefault="00DD54B9" w:rsidP="005A6E5C">
            <w:pPr>
              <w:rPr>
                <w:lang w:val="en-US" w:eastAsia="zh-CN"/>
              </w:rPr>
            </w:pPr>
            <w:r w:rsidRPr="00702BC5">
              <w:rPr>
                <w:u w:val="single"/>
                <w:lang w:val="en-US" w:eastAsia="zh-CN"/>
              </w:rPr>
              <w:t>Need for fine tracking delay:</w:t>
            </w:r>
            <w:r w:rsidRPr="00702BC5">
              <w:rPr>
                <w:lang w:val="en-US" w:eastAsia="zh-CN"/>
              </w:rPr>
              <w:t xml:space="preserve"> This can be further discussed when MRTD aspects of interband CA have been decided, although our initial expectation  is that fine tracking is necessary under hypothesis 1, since independent receivers and RF chains are used per band.</w:t>
            </w:r>
          </w:p>
          <w:p w14:paraId="6E6C9CD7" w14:textId="461A6316" w:rsidR="00DD54B9" w:rsidRPr="00702BC5" w:rsidRDefault="00DD54B9" w:rsidP="005A6E5C">
            <w:pPr>
              <w:rPr>
                <w:b/>
                <w:bCs/>
                <w:lang w:val="en-US" w:eastAsia="zh-CN"/>
              </w:rPr>
            </w:pPr>
            <w:r w:rsidRPr="00702BC5">
              <w:rPr>
                <w:b/>
                <w:bCs/>
                <w:lang w:val="en-US" w:eastAsia="zh-CN"/>
              </w:rPr>
              <w:t>Proposal 6: AGC settling time is needed in case 2 Scell activation for CBM UE. Need for cell search time and fine tracking delay can be considered once MRTD requirements are decided</w:t>
            </w:r>
          </w:p>
        </w:tc>
      </w:tr>
    </w:tbl>
    <w:p w14:paraId="2543552B" w14:textId="77777777" w:rsidR="00760958" w:rsidRPr="00760958" w:rsidRDefault="00760958" w:rsidP="00694A36">
      <w:pPr>
        <w:rPr>
          <w:lang w:val="en-US" w:eastAsia="zh-CN"/>
        </w:rPr>
      </w:pPr>
    </w:p>
    <w:p w14:paraId="0397DAF3" w14:textId="77777777" w:rsidR="00760958" w:rsidRPr="00760958" w:rsidRDefault="00760958" w:rsidP="00694A36">
      <w:pPr>
        <w:rPr>
          <w:b/>
          <w:bCs/>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6DD5C6DD" w:rsidR="00751741" w:rsidRDefault="00DD54B9" w:rsidP="00A62E61">
      <w:pPr>
        <w:rPr>
          <w:lang w:val="en-US" w:eastAsia="zh-CN"/>
        </w:rPr>
      </w:pPr>
      <w:r w:rsidRPr="00DD54B9">
        <w:rPr>
          <w:lang w:val="en-US" w:eastAsia="zh-CN"/>
        </w:rPr>
        <w:t>We anal</w:t>
      </w:r>
      <w:r>
        <w:rPr>
          <w:lang w:val="en-US" w:eastAsia="zh-CN"/>
        </w:rPr>
        <w:t>yze RRM requirements for IBM and CBM UE with the following observation and hypothesis on UE RF architecture:</w:t>
      </w:r>
    </w:p>
    <w:p w14:paraId="153A9C53" w14:textId="77777777" w:rsidR="00DD54B9" w:rsidRPr="00DD54B9" w:rsidRDefault="00DD54B9" w:rsidP="00DD54B9">
      <w:pPr>
        <w:rPr>
          <w:b/>
          <w:bCs/>
          <w:lang w:val="en-US" w:eastAsia="zh-CN"/>
        </w:rPr>
      </w:pPr>
      <w:r w:rsidRPr="00DD54B9">
        <w:rPr>
          <w:b/>
          <w:bCs/>
          <w:lang w:val="en-US" w:eastAsia="zh-CN"/>
        </w:rPr>
        <w:t>Observation 1 : Independent beamforming UE consists of two simultaneously active and independent antenna arrays followed by 2 independent FR2  RF chains.</w:t>
      </w:r>
    </w:p>
    <w:p w14:paraId="40DBF7DD" w14:textId="77777777" w:rsidR="00DD54B9" w:rsidRDefault="00DD54B9" w:rsidP="00DD54B9">
      <w:pPr>
        <w:rPr>
          <w:b/>
          <w:bCs/>
          <w:lang w:val="en-US" w:eastAsia="zh-CN"/>
        </w:rPr>
      </w:pPr>
      <w:r>
        <w:rPr>
          <w:b/>
          <w:bCs/>
          <w:lang w:val="en-US" w:eastAsia="zh-CN"/>
        </w:rPr>
        <w:t>Hypothesis 1 : Common beamforming UE consists of a single antenna array followed by 2 independent FR2 RF chains</w:t>
      </w:r>
    </w:p>
    <w:p w14:paraId="1EAC3D08" w14:textId="3D3AF423" w:rsidR="00DD54B9" w:rsidRDefault="00DD54B9" w:rsidP="00A62E61">
      <w:pPr>
        <w:rPr>
          <w:lang w:val="en-US" w:eastAsia="zh-CN"/>
        </w:rPr>
      </w:pPr>
    </w:p>
    <w:p w14:paraId="19B4B344" w14:textId="45605924" w:rsidR="00DD54B9" w:rsidRDefault="00DD54B9" w:rsidP="00A62E61">
      <w:pPr>
        <w:rPr>
          <w:lang w:val="en-US" w:eastAsia="zh-CN"/>
        </w:rPr>
      </w:pPr>
      <w:r>
        <w:rPr>
          <w:lang w:val="en-US" w:eastAsia="zh-CN"/>
        </w:rPr>
        <w:t>Based on this, we make proposals based on the WF:</w:t>
      </w:r>
    </w:p>
    <w:p w14:paraId="1475A07C" w14:textId="77777777" w:rsidR="00DD54B9" w:rsidRDefault="00DD54B9" w:rsidP="00DD54B9">
      <w:pPr>
        <w:rPr>
          <w:b/>
          <w:bCs/>
          <w:lang w:val="en-US" w:eastAsia="zh-CN"/>
        </w:rPr>
      </w:pPr>
      <w:r>
        <w:rPr>
          <w:b/>
          <w:bCs/>
          <w:lang w:val="en-US" w:eastAsia="zh-CN"/>
        </w:rPr>
        <w:t>Proposal 1 : CBD UE performs BFD/CBD on Scell based on requirements being defined in eMIMO WI.</w:t>
      </w:r>
    </w:p>
    <w:p w14:paraId="1C488B87" w14:textId="5333ED09" w:rsidR="00DD54B9" w:rsidRDefault="00DD54B9" w:rsidP="00DD54B9">
      <w:pPr>
        <w:rPr>
          <w:b/>
          <w:bCs/>
          <w:lang w:val="en-US" w:eastAsia="zh-CN"/>
        </w:rPr>
      </w:pPr>
      <w:r>
        <w:rPr>
          <w:b/>
          <w:bCs/>
          <w:lang w:val="en-US" w:eastAsia="zh-CN"/>
        </w:rPr>
        <w:t>Proposal 2 : CBD UE performs L1-RSRP reporting on SCells according to R15 measurement requirements.</w:t>
      </w:r>
    </w:p>
    <w:p w14:paraId="3ED14EBA" w14:textId="77777777" w:rsidR="00DD54B9" w:rsidRDefault="00DD54B9" w:rsidP="00DD54B9">
      <w:pPr>
        <w:rPr>
          <w:b/>
          <w:bCs/>
          <w:lang w:val="en-US" w:eastAsia="zh-CN"/>
        </w:rPr>
      </w:pPr>
      <w:r>
        <w:rPr>
          <w:b/>
          <w:bCs/>
          <w:lang w:val="en-US" w:eastAsia="zh-CN"/>
        </w:rPr>
        <w:t xml:space="preserve">Proposal 3 : </w:t>
      </w:r>
    </w:p>
    <w:p w14:paraId="7EC60597" w14:textId="77777777" w:rsidR="00DD54B9" w:rsidRPr="00015313" w:rsidRDefault="00DD54B9" w:rsidP="00DD54B9">
      <w:pPr>
        <w:rPr>
          <w:b/>
          <w:bCs/>
          <w:lang w:val="en-US" w:eastAsia="zh-CN"/>
        </w:rPr>
      </w:pPr>
      <w:r>
        <w:rPr>
          <w:b/>
          <w:bCs/>
          <w:lang w:val="en-US" w:eastAsia="zh-CN"/>
        </w:rPr>
        <w:t>For IBM t</w:t>
      </w:r>
      <w:r w:rsidRPr="00015313">
        <w:rPr>
          <w:b/>
          <w:bCs/>
          <w:lang w:val="en-US" w:eastAsia="zh-CN"/>
        </w:rPr>
        <w:t>here are no scheduling restrictions on one FR2 band due to RLM/BFD/CBD/L1-RSRP measurements being performed on another FR2 band.</w:t>
      </w:r>
    </w:p>
    <w:p w14:paraId="0DD171C3" w14:textId="77777777" w:rsidR="00DD54B9" w:rsidRPr="00015313" w:rsidRDefault="00DD54B9" w:rsidP="00DD54B9">
      <w:pPr>
        <w:rPr>
          <w:b/>
          <w:bCs/>
          <w:lang w:val="en-US" w:eastAsia="zh-CN"/>
        </w:rPr>
      </w:pPr>
      <w:r w:rsidRPr="00015313">
        <w:rPr>
          <w:b/>
          <w:bCs/>
          <w:lang w:val="en-US" w:eastAsia="zh-CN"/>
        </w:rPr>
        <w:t>The scheduling availability requirements for FR2 inter-band CA scenario shall be introduced to clarify there is no scheduling restriction if UE uses independent beam.</w:t>
      </w:r>
    </w:p>
    <w:p w14:paraId="1222C547" w14:textId="5EF3864D" w:rsidR="00DD54B9" w:rsidRDefault="00DD54B9" w:rsidP="00DD54B9">
      <w:pPr>
        <w:rPr>
          <w:b/>
          <w:bCs/>
          <w:lang w:val="en-US" w:eastAsia="zh-CN"/>
        </w:rPr>
      </w:pPr>
      <w:r>
        <w:rPr>
          <w:b/>
          <w:bCs/>
          <w:lang w:val="en-US" w:eastAsia="zh-CN"/>
        </w:rPr>
        <w:t>Proposal 4 : No measurement restrictions are specified between bands for IBM UE</w:t>
      </w:r>
    </w:p>
    <w:p w14:paraId="5F194C0B" w14:textId="77777777" w:rsidR="00DD54B9" w:rsidRPr="00DD54B9" w:rsidRDefault="00DD54B9" w:rsidP="00DD54B9">
      <w:pPr>
        <w:rPr>
          <w:lang w:val="en-US" w:eastAsia="zh-CN"/>
        </w:rPr>
      </w:pPr>
      <w:r>
        <w:rPr>
          <w:b/>
          <w:bCs/>
          <w:lang w:val="en-US" w:eastAsia="zh-CN"/>
        </w:rPr>
        <w:t>Proposal 5 : Measurement restrictions are needed for CBM UE unless QCL type D applies between measurement resources on each band</w:t>
      </w:r>
    </w:p>
    <w:p w14:paraId="3F7414F6" w14:textId="59A4DF02" w:rsidR="00DD54B9" w:rsidRDefault="00DD54B9" w:rsidP="00DD54B9">
      <w:pPr>
        <w:rPr>
          <w:b/>
          <w:bCs/>
          <w:lang w:val="en-US" w:eastAsia="zh-CN"/>
        </w:rPr>
      </w:pPr>
      <w:r w:rsidRPr="00DD54B9">
        <w:rPr>
          <w:b/>
          <w:bCs/>
          <w:lang w:val="en-US" w:eastAsia="zh-CN"/>
        </w:rPr>
        <w:t>Proposal 6:</w:t>
      </w:r>
      <w:r>
        <w:rPr>
          <w:b/>
          <w:bCs/>
          <w:lang w:val="en-US" w:eastAsia="zh-CN"/>
        </w:rPr>
        <w:t xml:space="preserve"> AGC settling time is needed in case 2 Scell activation for CBM UE. Need for cell search time and fine tracking delay can be considered once MRTD requirements are decided</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lastRenderedPageBreak/>
        <w:t>References</w:t>
      </w:r>
    </w:p>
    <w:p w14:paraId="2B7D5768" w14:textId="54E029EE" w:rsidR="003F08E6" w:rsidRDefault="00694A36" w:rsidP="007968F6">
      <w:pPr>
        <w:pStyle w:val="3GPPNormalText"/>
        <w:numPr>
          <w:ilvl w:val="0"/>
          <w:numId w:val="5"/>
        </w:numPr>
        <w:rPr>
          <w:szCs w:val="20"/>
          <w:lang w:eastAsia="zh-CN"/>
        </w:rPr>
      </w:pPr>
      <w:bookmarkStart w:id="1" w:name="_Ref39649648"/>
      <w:bookmarkStart w:id="2" w:name="_Ref39742569"/>
      <w:r w:rsidRPr="00694A36">
        <w:rPr>
          <w:szCs w:val="20"/>
          <w:lang w:eastAsia="zh-CN"/>
        </w:rPr>
        <w:t>R4-2005353</w:t>
      </w:r>
      <w:r w:rsidR="005C1ACC">
        <w:rPr>
          <w:szCs w:val="20"/>
          <w:lang w:eastAsia="zh-CN"/>
        </w:rPr>
        <w:t>,</w:t>
      </w:r>
      <w:r>
        <w:rPr>
          <w:szCs w:val="20"/>
          <w:lang w:eastAsia="zh-CN"/>
        </w:rPr>
        <w:t>”W</w:t>
      </w:r>
      <w:r w:rsidRPr="00694A36">
        <w:rPr>
          <w:szCs w:val="20"/>
          <w:lang w:eastAsia="zh-CN"/>
        </w:rPr>
        <w:t>F on R16 NR RRM enhancements – FR2 inter-band CA requirements</w:t>
      </w:r>
      <w:r w:rsidR="005C1ACC">
        <w:rPr>
          <w:szCs w:val="20"/>
          <w:lang w:eastAsia="zh-CN"/>
        </w:rPr>
        <w:t>”,</w:t>
      </w:r>
      <w:r w:rsidR="005C1ACC" w:rsidRPr="005C1ACC">
        <w:rPr>
          <w:szCs w:val="20"/>
          <w:lang w:eastAsia="zh-CN"/>
        </w:rPr>
        <w:t xml:space="preserve"> </w:t>
      </w:r>
      <w:bookmarkEnd w:id="1"/>
      <w:r>
        <w:rPr>
          <w:szCs w:val="20"/>
          <w:lang w:eastAsia="zh-CN"/>
        </w:rPr>
        <w:t>Huawei</w:t>
      </w:r>
      <w:bookmarkEnd w:id="2"/>
    </w:p>
    <w:p w14:paraId="662F7BF3" w14:textId="7DDEAF2F" w:rsidR="003B3178" w:rsidRPr="00694A36" w:rsidRDefault="00694A36" w:rsidP="00694A36">
      <w:pPr>
        <w:pStyle w:val="3GPPNormalText"/>
        <w:numPr>
          <w:ilvl w:val="0"/>
          <w:numId w:val="5"/>
        </w:numPr>
        <w:rPr>
          <w:szCs w:val="20"/>
          <w:lang w:eastAsia="zh-CN"/>
        </w:rPr>
      </w:pPr>
      <w:r>
        <w:rPr>
          <w:szCs w:val="20"/>
          <w:lang w:eastAsia="zh-CN"/>
        </w:rPr>
        <w:t>R4-2005736, “</w:t>
      </w:r>
      <w:r w:rsidRPr="00694A36">
        <w:rPr>
          <w:szCs w:val="20"/>
          <w:lang w:val="en-GB" w:eastAsia="zh-CN"/>
        </w:rPr>
        <w:t>WF on inter-band DL CA</w:t>
      </w:r>
      <w:r>
        <w:rPr>
          <w:szCs w:val="20"/>
          <w:lang w:val="en-GB" w:eastAsia="zh-CN"/>
        </w:rPr>
        <w:t>”, Qualcomm</w:t>
      </w:r>
    </w:p>
    <w:sectPr w:rsidR="003B3178" w:rsidRPr="00694A3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EC6B7" w14:textId="77777777" w:rsidR="00F908CB" w:rsidRDefault="00F908CB">
      <w:r>
        <w:separator/>
      </w:r>
    </w:p>
  </w:endnote>
  <w:endnote w:type="continuationSeparator" w:id="0">
    <w:p w14:paraId="7071BF42" w14:textId="77777777" w:rsidR="00F908CB" w:rsidRDefault="00F9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20C95" w14:textId="77777777" w:rsidR="00F908CB" w:rsidRDefault="00F908CB">
      <w:r>
        <w:separator/>
      </w:r>
    </w:p>
  </w:footnote>
  <w:footnote w:type="continuationSeparator" w:id="0">
    <w:p w14:paraId="1188C937" w14:textId="77777777" w:rsidR="00F908CB" w:rsidRDefault="00F90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B67FA"/>
    <w:multiLevelType w:val="hybridMultilevel"/>
    <w:tmpl w:val="95A6A8BE"/>
    <w:lvl w:ilvl="0" w:tplc="64E07D5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717C8"/>
    <w:multiLevelType w:val="hybridMultilevel"/>
    <w:tmpl w:val="260C1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F518FC"/>
    <w:multiLevelType w:val="hybridMultilevel"/>
    <w:tmpl w:val="409637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4"/>
  </w:num>
  <w:num w:numId="2">
    <w:abstractNumId w:val="46"/>
  </w:num>
  <w:num w:numId="3">
    <w:abstractNumId w:val="49"/>
  </w:num>
  <w:num w:numId="4">
    <w:abstractNumId w:val="14"/>
  </w:num>
  <w:num w:numId="5">
    <w:abstractNumId w:val="18"/>
  </w:num>
  <w:num w:numId="6">
    <w:abstractNumId w:val="40"/>
  </w:num>
  <w:num w:numId="7">
    <w:abstractNumId w:val="15"/>
  </w:num>
  <w:num w:numId="8">
    <w:abstractNumId w:val="32"/>
  </w:num>
  <w:num w:numId="9">
    <w:abstractNumId w:val="21"/>
  </w:num>
  <w:num w:numId="10">
    <w:abstractNumId w:val="22"/>
  </w:num>
  <w:num w:numId="11">
    <w:abstractNumId w:val="11"/>
  </w:num>
  <w:num w:numId="12">
    <w:abstractNumId w:val="28"/>
  </w:num>
  <w:num w:numId="13">
    <w:abstractNumId w:val="1"/>
  </w:num>
  <w:num w:numId="14">
    <w:abstractNumId w:val="2"/>
  </w:num>
  <w:num w:numId="15">
    <w:abstractNumId w:val="48"/>
  </w:num>
  <w:num w:numId="16">
    <w:abstractNumId w:val="29"/>
  </w:num>
  <w:num w:numId="17">
    <w:abstractNumId w:val="31"/>
  </w:num>
  <w:num w:numId="18">
    <w:abstractNumId w:val="13"/>
  </w:num>
  <w:num w:numId="19">
    <w:abstractNumId w:val="36"/>
  </w:num>
  <w:num w:numId="20">
    <w:abstractNumId w:val="38"/>
  </w:num>
  <w:num w:numId="21">
    <w:abstractNumId w:val="10"/>
  </w:num>
  <w:num w:numId="22">
    <w:abstractNumId w:val="43"/>
  </w:num>
  <w:num w:numId="23">
    <w:abstractNumId w:val="4"/>
  </w:num>
  <w:num w:numId="24">
    <w:abstractNumId w:val="33"/>
  </w:num>
  <w:num w:numId="25">
    <w:abstractNumId w:val="12"/>
  </w:num>
  <w:num w:numId="26">
    <w:abstractNumId w:val="37"/>
  </w:num>
  <w:num w:numId="27">
    <w:abstractNumId w:val="26"/>
  </w:num>
  <w:num w:numId="28">
    <w:abstractNumId w:val="27"/>
  </w:num>
  <w:num w:numId="29">
    <w:abstractNumId w:val="44"/>
  </w:num>
  <w:num w:numId="30">
    <w:abstractNumId w:val="39"/>
  </w:num>
  <w:num w:numId="31">
    <w:abstractNumId w:val="42"/>
  </w:num>
  <w:num w:numId="32">
    <w:abstractNumId w:val="17"/>
  </w:num>
  <w:num w:numId="33">
    <w:abstractNumId w:val="25"/>
  </w:num>
  <w:num w:numId="34">
    <w:abstractNumId w:val="3"/>
  </w:num>
  <w:num w:numId="35">
    <w:abstractNumId w:val="8"/>
  </w:num>
  <w:num w:numId="36">
    <w:abstractNumId w:val="9"/>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30"/>
  </w:num>
  <w:num w:numId="44">
    <w:abstractNumId w:val="47"/>
  </w:num>
  <w:num w:numId="45">
    <w:abstractNumId w:val="5"/>
  </w:num>
  <w:num w:numId="46">
    <w:abstractNumId w:val="41"/>
  </w:num>
  <w:num w:numId="47">
    <w:abstractNumId w:val="35"/>
  </w:num>
  <w:num w:numId="48">
    <w:abstractNumId w:val="6"/>
  </w:num>
  <w:num w:numId="49">
    <w:abstractNumId w:val="45"/>
  </w:num>
  <w:num w:numId="50">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313"/>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55"/>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025"/>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B46"/>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6E5C"/>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A3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6754"/>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EA3"/>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C5"/>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09"/>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958"/>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1FA8"/>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84D"/>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066"/>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4B9"/>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8CB"/>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0C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0570966">
      <w:bodyDiv w:val="1"/>
      <w:marLeft w:val="0"/>
      <w:marRight w:val="0"/>
      <w:marTop w:val="0"/>
      <w:marBottom w:val="0"/>
      <w:divBdr>
        <w:top w:val="none" w:sz="0" w:space="0" w:color="auto"/>
        <w:left w:val="none" w:sz="0" w:space="0" w:color="auto"/>
        <w:bottom w:val="none" w:sz="0" w:space="0" w:color="auto"/>
        <w:right w:val="none" w:sz="0" w:space="0" w:color="auto"/>
      </w:divBdr>
      <w:divsChild>
        <w:div w:id="2005087631">
          <w:marLeft w:val="360"/>
          <w:marRight w:val="0"/>
          <w:marTop w:val="200"/>
          <w:marBottom w:val="0"/>
          <w:divBdr>
            <w:top w:val="none" w:sz="0" w:space="0" w:color="auto"/>
            <w:left w:val="none" w:sz="0" w:space="0" w:color="auto"/>
            <w:bottom w:val="none" w:sz="0" w:space="0" w:color="auto"/>
            <w:right w:val="none" w:sz="0" w:space="0" w:color="auto"/>
          </w:divBdr>
        </w:div>
        <w:div w:id="259997498">
          <w:marLeft w:val="1080"/>
          <w:marRight w:val="0"/>
          <w:marTop w:val="100"/>
          <w:marBottom w:val="0"/>
          <w:divBdr>
            <w:top w:val="none" w:sz="0" w:space="0" w:color="auto"/>
            <w:left w:val="none" w:sz="0" w:space="0" w:color="auto"/>
            <w:bottom w:val="none" w:sz="0" w:space="0" w:color="auto"/>
            <w:right w:val="none" w:sz="0" w:space="0" w:color="auto"/>
          </w:divBdr>
        </w:div>
        <w:div w:id="98526721">
          <w:marLeft w:val="360"/>
          <w:marRight w:val="0"/>
          <w:marTop w:val="200"/>
          <w:marBottom w:val="0"/>
          <w:divBdr>
            <w:top w:val="none" w:sz="0" w:space="0" w:color="auto"/>
            <w:left w:val="none" w:sz="0" w:space="0" w:color="auto"/>
            <w:bottom w:val="none" w:sz="0" w:space="0" w:color="auto"/>
            <w:right w:val="none" w:sz="0" w:space="0" w:color="auto"/>
          </w:divBdr>
        </w:div>
        <w:div w:id="1429620447">
          <w:marLeft w:val="1080"/>
          <w:marRight w:val="0"/>
          <w:marTop w:val="10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5143576">
      <w:bodyDiv w:val="1"/>
      <w:marLeft w:val="0"/>
      <w:marRight w:val="0"/>
      <w:marTop w:val="0"/>
      <w:marBottom w:val="0"/>
      <w:divBdr>
        <w:top w:val="none" w:sz="0" w:space="0" w:color="auto"/>
        <w:left w:val="none" w:sz="0" w:space="0" w:color="auto"/>
        <w:bottom w:val="none" w:sz="0" w:space="0" w:color="auto"/>
        <w:right w:val="none" w:sz="0" w:space="0" w:color="auto"/>
      </w:divBdr>
      <w:divsChild>
        <w:div w:id="1541741383">
          <w:marLeft w:val="1886"/>
          <w:marRight w:val="0"/>
          <w:marTop w:val="0"/>
          <w:marBottom w:val="0"/>
          <w:divBdr>
            <w:top w:val="none" w:sz="0" w:space="0" w:color="auto"/>
            <w:left w:val="none" w:sz="0" w:space="0" w:color="auto"/>
            <w:bottom w:val="none" w:sz="0" w:space="0" w:color="auto"/>
            <w:right w:val="none" w:sz="0" w:space="0" w:color="auto"/>
          </w:divBdr>
        </w:div>
      </w:divsChild>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2008233">
      <w:bodyDiv w:val="1"/>
      <w:marLeft w:val="0"/>
      <w:marRight w:val="0"/>
      <w:marTop w:val="0"/>
      <w:marBottom w:val="0"/>
      <w:divBdr>
        <w:top w:val="none" w:sz="0" w:space="0" w:color="auto"/>
        <w:left w:val="none" w:sz="0" w:space="0" w:color="auto"/>
        <w:bottom w:val="none" w:sz="0" w:space="0" w:color="auto"/>
        <w:right w:val="none" w:sz="0" w:space="0" w:color="auto"/>
      </w:divBdr>
      <w:divsChild>
        <w:div w:id="1964382870">
          <w:marLeft w:val="1166"/>
          <w:marRight w:val="0"/>
          <w:marTop w:val="0"/>
          <w:marBottom w:val="0"/>
          <w:divBdr>
            <w:top w:val="none" w:sz="0" w:space="0" w:color="auto"/>
            <w:left w:val="none" w:sz="0" w:space="0" w:color="auto"/>
            <w:bottom w:val="none" w:sz="0" w:space="0" w:color="auto"/>
            <w:right w:val="none" w:sz="0" w:space="0" w:color="auto"/>
          </w:divBdr>
        </w:div>
        <w:div w:id="22682099">
          <w:marLeft w:val="1166"/>
          <w:marRight w:val="0"/>
          <w:marTop w:val="0"/>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1615057">
      <w:bodyDiv w:val="1"/>
      <w:marLeft w:val="0"/>
      <w:marRight w:val="0"/>
      <w:marTop w:val="0"/>
      <w:marBottom w:val="0"/>
      <w:divBdr>
        <w:top w:val="none" w:sz="0" w:space="0" w:color="auto"/>
        <w:left w:val="none" w:sz="0" w:space="0" w:color="auto"/>
        <w:bottom w:val="none" w:sz="0" w:space="0" w:color="auto"/>
        <w:right w:val="none" w:sz="0" w:space="0" w:color="auto"/>
      </w:divBdr>
      <w:divsChild>
        <w:div w:id="371269581">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7167129">
      <w:bodyDiv w:val="1"/>
      <w:marLeft w:val="0"/>
      <w:marRight w:val="0"/>
      <w:marTop w:val="0"/>
      <w:marBottom w:val="0"/>
      <w:divBdr>
        <w:top w:val="none" w:sz="0" w:space="0" w:color="auto"/>
        <w:left w:val="none" w:sz="0" w:space="0" w:color="auto"/>
        <w:bottom w:val="none" w:sz="0" w:space="0" w:color="auto"/>
        <w:right w:val="none" w:sz="0" w:space="0" w:color="auto"/>
      </w:divBdr>
      <w:divsChild>
        <w:div w:id="1697348181">
          <w:marLeft w:val="360"/>
          <w:marRight w:val="0"/>
          <w:marTop w:val="200"/>
          <w:marBottom w:val="0"/>
          <w:divBdr>
            <w:top w:val="none" w:sz="0" w:space="0" w:color="auto"/>
            <w:left w:val="none" w:sz="0" w:space="0" w:color="auto"/>
            <w:bottom w:val="none" w:sz="0" w:space="0" w:color="auto"/>
            <w:right w:val="none" w:sz="0" w:space="0" w:color="auto"/>
          </w:divBdr>
        </w:div>
        <w:div w:id="1260410601">
          <w:marLeft w:val="360"/>
          <w:marRight w:val="0"/>
          <w:marTop w:val="200"/>
          <w:marBottom w:val="0"/>
          <w:divBdr>
            <w:top w:val="none" w:sz="0" w:space="0" w:color="auto"/>
            <w:left w:val="none" w:sz="0" w:space="0" w:color="auto"/>
            <w:bottom w:val="none" w:sz="0" w:space="0" w:color="auto"/>
            <w:right w:val="none" w:sz="0" w:space="0" w:color="auto"/>
          </w:divBdr>
        </w:div>
        <w:div w:id="1399858396">
          <w:marLeft w:val="360"/>
          <w:marRight w:val="0"/>
          <w:marTop w:val="200"/>
          <w:marBottom w:val="0"/>
          <w:divBdr>
            <w:top w:val="none" w:sz="0" w:space="0" w:color="auto"/>
            <w:left w:val="none" w:sz="0" w:space="0" w:color="auto"/>
            <w:bottom w:val="none" w:sz="0" w:space="0" w:color="auto"/>
            <w:right w:val="none" w:sz="0" w:space="0" w:color="auto"/>
          </w:divBdr>
        </w:div>
        <w:div w:id="1528445488">
          <w:marLeft w:val="1080"/>
          <w:marRight w:val="0"/>
          <w:marTop w:val="100"/>
          <w:marBottom w:val="0"/>
          <w:divBdr>
            <w:top w:val="none" w:sz="0" w:space="0" w:color="auto"/>
            <w:left w:val="none" w:sz="0" w:space="0" w:color="auto"/>
            <w:bottom w:val="none" w:sz="0" w:space="0" w:color="auto"/>
            <w:right w:val="none" w:sz="0" w:space="0" w:color="auto"/>
          </w:divBdr>
        </w:div>
        <w:div w:id="1603106608">
          <w:marLeft w:val="1800"/>
          <w:marRight w:val="0"/>
          <w:marTop w:val="100"/>
          <w:marBottom w:val="0"/>
          <w:divBdr>
            <w:top w:val="none" w:sz="0" w:space="0" w:color="auto"/>
            <w:left w:val="none" w:sz="0" w:space="0" w:color="auto"/>
            <w:bottom w:val="none" w:sz="0" w:space="0" w:color="auto"/>
            <w:right w:val="none" w:sz="0" w:space="0" w:color="auto"/>
          </w:divBdr>
        </w:div>
        <w:div w:id="620376893">
          <w:marLeft w:val="1800"/>
          <w:marRight w:val="0"/>
          <w:marTop w:val="100"/>
          <w:marBottom w:val="0"/>
          <w:divBdr>
            <w:top w:val="none" w:sz="0" w:space="0" w:color="auto"/>
            <w:left w:val="none" w:sz="0" w:space="0" w:color="auto"/>
            <w:bottom w:val="none" w:sz="0" w:space="0" w:color="auto"/>
            <w:right w:val="none" w:sz="0" w:space="0" w:color="auto"/>
          </w:divBdr>
        </w:div>
        <w:div w:id="1382972991">
          <w:marLeft w:val="360"/>
          <w:marRight w:val="0"/>
          <w:marTop w:val="200"/>
          <w:marBottom w:val="0"/>
          <w:divBdr>
            <w:top w:val="none" w:sz="0" w:space="0" w:color="auto"/>
            <w:left w:val="none" w:sz="0" w:space="0" w:color="auto"/>
            <w:bottom w:val="none" w:sz="0" w:space="0" w:color="auto"/>
            <w:right w:val="none" w:sz="0" w:space="0" w:color="auto"/>
          </w:divBdr>
        </w:div>
        <w:div w:id="589971116">
          <w:marLeft w:val="1080"/>
          <w:marRight w:val="0"/>
          <w:marTop w:val="100"/>
          <w:marBottom w:val="0"/>
          <w:divBdr>
            <w:top w:val="none" w:sz="0" w:space="0" w:color="auto"/>
            <w:left w:val="none" w:sz="0" w:space="0" w:color="auto"/>
            <w:bottom w:val="none" w:sz="0" w:space="0" w:color="auto"/>
            <w:right w:val="none" w:sz="0" w:space="0" w:color="auto"/>
          </w:divBdr>
        </w:div>
        <w:div w:id="680274905">
          <w:marLeft w:val="360"/>
          <w:marRight w:val="0"/>
          <w:marTop w:val="200"/>
          <w:marBottom w:val="0"/>
          <w:divBdr>
            <w:top w:val="none" w:sz="0" w:space="0" w:color="auto"/>
            <w:left w:val="none" w:sz="0" w:space="0" w:color="auto"/>
            <w:bottom w:val="none" w:sz="0" w:space="0" w:color="auto"/>
            <w:right w:val="none" w:sz="0" w:space="0" w:color="auto"/>
          </w:divBdr>
        </w:div>
      </w:divsChild>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8208">
      <w:bodyDiv w:val="1"/>
      <w:marLeft w:val="0"/>
      <w:marRight w:val="0"/>
      <w:marTop w:val="0"/>
      <w:marBottom w:val="0"/>
      <w:divBdr>
        <w:top w:val="none" w:sz="0" w:space="0" w:color="auto"/>
        <w:left w:val="none" w:sz="0" w:space="0" w:color="auto"/>
        <w:bottom w:val="none" w:sz="0" w:space="0" w:color="auto"/>
        <w:right w:val="none" w:sz="0" w:space="0" w:color="auto"/>
      </w:divBdr>
      <w:divsChild>
        <w:div w:id="2128622155">
          <w:marLeft w:val="1166"/>
          <w:marRight w:val="0"/>
          <w:marTop w:val="0"/>
          <w:marBottom w:val="0"/>
          <w:divBdr>
            <w:top w:val="none" w:sz="0" w:space="0" w:color="auto"/>
            <w:left w:val="none" w:sz="0" w:space="0" w:color="auto"/>
            <w:bottom w:val="none" w:sz="0" w:space="0" w:color="auto"/>
            <w:right w:val="none" w:sz="0" w:space="0" w:color="auto"/>
          </w:divBdr>
        </w:div>
        <w:div w:id="1870294922">
          <w:marLeft w:val="1166"/>
          <w:marRight w:val="0"/>
          <w:marTop w:val="0"/>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5471683">
      <w:bodyDiv w:val="1"/>
      <w:marLeft w:val="0"/>
      <w:marRight w:val="0"/>
      <w:marTop w:val="0"/>
      <w:marBottom w:val="0"/>
      <w:divBdr>
        <w:top w:val="none" w:sz="0" w:space="0" w:color="auto"/>
        <w:left w:val="none" w:sz="0" w:space="0" w:color="auto"/>
        <w:bottom w:val="none" w:sz="0" w:space="0" w:color="auto"/>
        <w:right w:val="none" w:sz="0" w:space="0" w:color="auto"/>
      </w:divBdr>
      <w:divsChild>
        <w:div w:id="1510481290">
          <w:marLeft w:val="1166"/>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79631">
      <w:bodyDiv w:val="1"/>
      <w:marLeft w:val="0"/>
      <w:marRight w:val="0"/>
      <w:marTop w:val="0"/>
      <w:marBottom w:val="0"/>
      <w:divBdr>
        <w:top w:val="none" w:sz="0" w:space="0" w:color="auto"/>
        <w:left w:val="none" w:sz="0" w:space="0" w:color="auto"/>
        <w:bottom w:val="none" w:sz="0" w:space="0" w:color="auto"/>
        <w:right w:val="none" w:sz="0" w:space="0" w:color="auto"/>
      </w:divBdr>
      <w:divsChild>
        <w:div w:id="170993932">
          <w:marLeft w:val="1886"/>
          <w:marRight w:val="0"/>
          <w:marTop w:val="0"/>
          <w:marBottom w:val="0"/>
          <w:divBdr>
            <w:top w:val="none" w:sz="0" w:space="0" w:color="auto"/>
            <w:left w:val="none" w:sz="0" w:space="0" w:color="auto"/>
            <w:bottom w:val="none" w:sz="0" w:space="0" w:color="auto"/>
            <w:right w:val="none" w:sz="0" w:space="0" w:color="auto"/>
          </w:divBdr>
        </w:div>
        <w:div w:id="1109423540">
          <w:marLeft w:val="2606"/>
          <w:marRight w:val="0"/>
          <w:marTop w:val="0"/>
          <w:marBottom w:val="0"/>
          <w:divBdr>
            <w:top w:val="none" w:sz="0" w:space="0" w:color="auto"/>
            <w:left w:val="none" w:sz="0" w:space="0" w:color="auto"/>
            <w:bottom w:val="none" w:sz="0" w:space="0" w:color="auto"/>
            <w:right w:val="none" w:sz="0" w:space="0" w:color="auto"/>
          </w:divBdr>
        </w:div>
        <w:div w:id="265966040">
          <w:marLeft w:val="2606"/>
          <w:marRight w:val="0"/>
          <w:marTop w:val="0"/>
          <w:marBottom w:val="0"/>
          <w:divBdr>
            <w:top w:val="none" w:sz="0" w:space="0" w:color="auto"/>
            <w:left w:val="none" w:sz="0" w:space="0" w:color="auto"/>
            <w:bottom w:val="none" w:sz="0" w:space="0" w:color="auto"/>
            <w:right w:val="none" w:sz="0" w:space="0" w:color="auto"/>
          </w:divBdr>
        </w:div>
        <w:div w:id="2064675172">
          <w:marLeft w:val="2606"/>
          <w:marRight w:val="0"/>
          <w:marTop w:val="0"/>
          <w:marBottom w:val="0"/>
          <w:divBdr>
            <w:top w:val="none" w:sz="0" w:space="0" w:color="auto"/>
            <w:left w:val="none" w:sz="0" w:space="0" w:color="auto"/>
            <w:bottom w:val="none" w:sz="0" w:space="0" w:color="auto"/>
            <w:right w:val="none" w:sz="0" w:space="0" w:color="auto"/>
          </w:divBdr>
        </w:div>
      </w:divsChild>
    </w:div>
    <w:div w:id="1073508142">
      <w:bodyDiv w:val="1"/>
      <w:marLeft w:val="0"/>
      <w:marRight w:val="0"/>
      <w:marTop w:val="0"/>
      <w:marBottom w:val="0"/>
      <w:divBdr>
        <w:top w:val="none" w:sz="0" w:space="0" w:color="auto"/>
        <w:left w:val="none" w:sz="0" w:space="0" w:color="auto"/>
        <w:bottom w:val="none" w:sz="0" w:space="0" w:color="auto"/>
        <w:right w:val="none" w:sz="0" w:space="0" w:color="auto"/>
      </w:divBdr>
      <w:divsChild>
        <w:div w:id="87845958">
          <w:marLeft w:val="1886"/>
          <w:marRight w:val="0"/>
          <w:marTop w:val="0"/>
          <w:marBottom w:val="0"/>
          <w:divBdr>
            <w:top w:val="none" w:sz="0" w:space="0" w:color="auto"/>
            <w:left w:val="none" w:sz="0" w:space="0" w:color="auto"/>
            <w:bottom w:val="none" w:sz="0" w:space="0" w:color="auto"/>
            <w:right w:val="none" w:sz="0" w:space="0" w:color="auto"/>
          </w:divBdr>
        </w:div>
        <w:div w:id="1063528155">
          <w:marLeft w:val="188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41969902">
      <w:bodyDiv w:val="1"/>
      <w:marLeft w:val="0"/>
      <w:marRight w:val="0"/>
      <w:marTop w:val="0"/>
      <w:marBottom w:val="0"/>
      <w:divBdr>
        <w:top w:val="none" w:sz="0" w:space="0" w:color="auto"/>
        <w:left w:val="none" w:sz="0" w:space="0" w:color="auto"/>
        <w:bottom w:val="none" w:sz="0" w:space="0" w:color="auto"/>
        <w:right w:val="none" w:sz="0" w:space="0" w:color="auto"/>
      </w:divBdr>
      <w:divsChild>
        <w:div w:id="318968518">
          <w:marLeft w:val="1166"/>
          <w:marRight w:val="0"/>
          <w:marTop w:val="0"/>
          <w:marBottom w:val="0"/>
          <w:divBdr>
            <w:top w:val="none" w:sz="0" w:space="0" w:color="auto"/>
            <w:left w:val="none" w:sz="0" w:space="0" w:color="auto"/>
            <w:bottom w:val="none" w:sz="0" w:space="0" w:color="auto"/>
            <w:right w:val="none" w:sz="0" w:space="0" w:color="auto"/>
          </w:divBdr>
        </w:div>
        <w:div w:id="1626111952">
          <w:marLeft w:val="1886"/>
          <w:marRight w:val="0"/>
          <w:marTop w:val="0"/>
          <w:marBottom w:val="0"/>
          <w:divBdr>
            <w:top w:val="none" w:sz="0" w:space="0" w:color="auto"/>
            <w:left w:val="none" w:sz="0" w:space="0" w:color="auto"/>
            <w:bottom w:val="none" w:sz="0" w:space="0" w:color="auto"/>
            <w:right w:val="none" w:sz="0" w:space="0" w:color="auto"/>
          </w:divBdr>
        </w:div>
        <w:div w:id="1386643206">
          <w:marLeft w:val="1166"/>
          <w:marRight w:val="0"/>
          <w:marTop w:val="0"/>
          <w:marBottom w:val="0"/>
          <w:divBdr>
            <w:top w:val="none" w:sz="0" w:space="0" w:color="auto"/>
            <w:left w:val="none" w:sz="0" w:space="0" w:color="auto"/>
            <w:bottom w:val="none" w:sz="0" w:space="0" w:color="auto"/>
            <w:right w:val="none" w:sz="0" w:space="0" w:color="auto"/>
          </w:divBdr>
        </w:div>
        <w:div w:id="592904684">
          <w:marLeft w:val="1886"/>
          <w:marRight w:val="0"/>
          <w:marTop w:val="0"/>
          <w:marBottom w:val="0"/>
          <w:divBdr>
            <w:top w:val="none" w:sz="0" w:space="0" w:color="auto"/>
            <w:left w:val="none" w:sz="0" w:space="0" w:color="auto"/>
            <w:bottom w:val="none" w:sz="0" w:space="0" w:color="auto"/>
            <w:right w:val="none" w:sz="0" w:space="0" w:color="auto"/>
          </w:divBdr>
        </w:div>
        <w:div w:id="1499080303">
          <w:marLeft w:val="1166"/>
          <w:marRight w:val="0"/>
          <w:marTop w:val="0"/>
          <w:marBottom w:val="0"/>
          <w:divBdr>
            <w:top w:val="none" w:sz="0" w:space="0" w:color="auto"/>
            <w:left w:val="none" w:sz="0" w:space="0" w:color="auto"/>
            <w:bottom w:val="none" w:sz="0" w:space="0" w:color="auto"/>
            <w:right w:val="none" w:sz="0" w:space="0" w:color="auto"/>
          </w:divBdr>
        </w:div>
        <w:div w:id="1031565572">
          <w:marLeft w:val="1886"/>
          <w:marRight w:val="0"/>
          <w:marTop w:val="0"/>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5221702">
      <w:bodyDiv w:val="1"/>
      <w:marLeft w:val="0"/>
      <w:marRight w:val="0"/>
      <w:marTop w:val="0"/>
      <w:marBottom w:val="0"/>
      <w:divBdr>
        <w:top w:val="none" w:sz="0" w:space="0" w:color="auto"/>
        <w:left w:val="none" w:sz="0" w:space="0" w:color="auto"/>
        <w:bottom w:val="none" w:sz="0" w:space="0" w:color="auto"/>
        <w:right w:val="none" w:sz="0" w:space="0" w:color="auto"/>
      </w:divBdr>
      <w:divsChild>
        <w:div w:id="575096792">
          <w:marLeft w:val="1166"/>
          <w:marRight w:val="0"/>
          <w:marTop w:val="0"/>
          <w:marBottom w:val="0"/>
          <w:divBdr>
            <w:top w:val="none" w:sz="0" w:space="0" w:color="auto"/>
            <w:left w:val="none" w:sz="0" w:space="0" w:color="auto"/>
            <w:bottom w:val="none" w:sz="0" w:space="0" w:color="auto"/>
            <w:right w:val="none" w:sz="0" w:space="0" w:color="auto"/>
          </w:divBdr>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7937705">
      <w:bodyDiv w:val="1"/>
      <w:marLeft w:val="0"/>
      <w:marRight w:val="0"/>
      <w:marTop w:val="0"/>
      <w:marBottom w:val="0"/>
      <w:divBdr>
        <w:top w:val="none" w:sz="0" w:space="0" w:color="auto"/>
        <w:left w:val="none" w:sz="0" w:space="0" w:color="auto"/>
        <w:bottom w:val="none" w:sz="0" w:space="0" w:color="auto"/>
        <w:right w:val="none" w:sz="0" w:space="0" w:color="auto"/>
      </w:divBdr>
      <w:divsChild>
        <w:div w:id="1423451040">
          <w:marLeft w:val="1166"/>
          <w:marRight w:val="0"/>
          <w:marTop w:val="0"/>
          <w:marBottom w:val="0"/>
          <w:divBdr>
            <w:top w:val="none" w:sz="0" w:space="0" w:color="auto"/>
            <w:left w:val="none" w:sz="0" w:space="0" w:color="auto"/>
            <w:bottom w:val="none" w:sz="0" w:space="0" w:color="auto"/>
            <w:right w:val="none" w:sz="0" w:space="0" w:color="auto"/>
          </w:divBdr>
        </w:div>
        <w:div w:id="1944459294">
          <w:marLeft w:val="188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60662760">
      <w:bodyDiv w:val="1"/>
      <w:marLeft w:val="0"/>
      <w:marRight w:val="0"/>
      <w:marTop w:val="0"/>
      <w:marBottom w:val="0"/>
      <w:divBdr>
        <w:top w:val="none" w:sz="0" w:space="0" w:color="auto"/>
        <w:left w:val="none" w:sz="0" w:space="0" w:color="auto"/>
        <w:bottom w:val="none" w:sz="0" w:space="0" w:color="auto"/>
        <w:right w:val="none" w:sz="0" w:space="0" w:color="auto"/>
      </w:divBdr>
      <w:divsChild>
        <w:div w:id="1136532240">
          <w:marLeft w:val="2606"/>
          <w:marRight w:val="0"/>
          <w:marTop w:val="0"/>
          <w:marBottom w:val="0"/>
          <w:divBdr>
            <w:top w:val="none" w:sz="0" w:space="0" w:color="auto"/>
            <w:left w:val="none" w:sz="0" w:space="0" w:color="auto"/>
            <w:bottom w:val="none" w:sz="0" w:space="0" w:color="auto"/>
            <w:right w:val="none" w:sz="0" w:space="0" w:color="auto"/>
          </w:divBdr>
        </w:div>
        <w:div w:id="748312683">
          <w:marLeft w:val="3326"/>
          <w:marRight w:val="0"/>
          <w:marTop w:val="0"/>
          <w:marBottom w:val="0"/>
          <w:divBdr>
            <w:top w:val="none" w:sz="0" w:space="0" w:color="auto"/>
            <w:left w:val="none" w:sz="0" w:space="0" w:color="auto"/>
            <w:bottom w:val="none" w:sz="0" w:space="0" w:color="auto"/>
            <w:right w:val="none" w:sz="0" w:space="0" w:color="auto"/>
          </w:divBdr>
        </w:div>
        <w:div w:id="1299338128">
          <w:marLeft w:val="2606"/>
          <w:marRight w:val="0"/>
          <w:marTop w:val="0"/>
          <w:marBottom w:val="0"/>
          <w:divBdr>
            <w:top w:val="none" w:sz="0" w:space="0" w:color="auto"/>
            <w:left w:val="none" w:sz="0" w:space="0" w:color="auto"/>
            <w:bottom w:val="none" w:sz="0" w:space="0" w:color="auto"/>
            <w:right w:val="none" w:sz="0" w:space="0" w:color="auto"/>
          </w:divBdr>
        </w:div>
      </w:divsChild>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51964472">
      <w:bodyDiv w:val="1"/>
      <w:marLeft w:val="0"/>
      <w:marRight w:val="0"/>
      <w:marTop w:val="0"/>
      <w:marBottom w:val="0"/>
      <w:divBdr>
        <w:top w:val="none" w:sz="0" w:space="0" w:color="auto"/>
        <w:left w:val="none" w:sz="0" w:space="0" w:color="auto"/>
        <w:bottom w:val="none" w:sz="0" w:space="0" w:color="auto"/>
        <w:right w:val="none" w:sz="0" w:space="0" w:color="auto"/>
      </w:divBdr>
      <w:divsChild>
        <w:div w:id="742801932">
          <w:marLeft w:val="1886"/>
          <w:marRight w:val="0"/>
          <w:marTop w:val="0"/>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28592755">
      <w:bodyDiv w:val="1"/>
      <w:marLeft w:val="0"/>
      <w:marRight w:val="0"/>
      <w:marTop w:val="0"/>
      <w:marBottom w:val="0"/>
      <w:divBdr>
        <w:top w:val="none" w:sz="0" w:space="0" w:color="auto"/>
        <w:left w:val="none" w:sz="0" w:space="0" w:color="auto"/>
        <w:bottom w:val="none" w:sz="0" w:space="0" w:color="auto"/>
        <w:right w:val="none" w:sz="0" w:space="0" w:color="auto"/>
      </w:divBdr>
      <w:divsChild>
        <w:div w:id="1752846755">
          <w:marLeft w:val="188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9464410">
      <w:bodyDiv w:val="1"/>
      <w:marLeft w:val="0"/>
      <w:marRight w:val="0"/>
      <w:marTop w:val="0"/>
      <w:marBottom w:val="0"/>
      <w:divBdr>
        <w:top w:val="none" w:sz="0" w:space="0" w:color="auto"/>
        <w:left w:val="none" w:sz="0" w:space="0" w:color="auto"/>
        <w:bottom w:val="none" w:sz="0" w:space="0" w:color="auto"/>
        <w:right w:val="none" w:sz="0" w:space="0" w:color="auto"/>
      </w:divBdr>
      <w:divsChild>
        <w:div w:id="332345067">
          <w:marLeft w:val="1886"/>
          <w:marRight w:val="0"/>
          <w:marTop w:val="0"/>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233378">
      <w:bodyDiv w:val="1"/>
      <w:marLeft w:val="0"/>
      <w:marRight w:val="0"/>
      <w:marTop w:val="0"/>
      <w:marBottom w:val="0"/>
      <w:divBdr>
        <w:top w:val="none" w:sz="0" w:space="0" w:color="auto"/>
        <w:left w:val="none" w:sz="0" w:space="0" w:color="auto"/>
        <w:bottom w:val="none" w:sz="0" w:space="0" w:color="auto"/>
        <w:right w:val="none" w:sz="0" w:space="0" w:color="auto"/>
      </w:divBdr>
      <w:divsChild>
        <w:div w:id="90857715">
          <w:marLeft w:val="360"/>
          <w:marRight w:val="0"/>
          <w:marTop w:val="200"/>
          <w:marBottom w:val="0"/>
          <w:divBdr>
            <w:top w:val="none" w:sz="0" w:space="0" w:color="auto"/>
            <w:left w:val="none" w:sz="0" w:space="0" w:color="auto"/>
            <w:bottom w:val="none" w:sz="0" w:space="0" w:color="auto"/>
            <w:right w:val="none" w:sz="0" w:space="0" w:color="auto"/>
          </w:divBdr>
        </w:div>
        <w:div w:id="1881283393">
          <w:marLeft w:val="1080"/>
          <w:marRight w:val="0"/>
          <w:marTop w:val="100"/>
          <w:marBottom w:val="0"/>
          <w:divBdr>
            <w:top w:val="none" w:sz="0" w:space="0" w:color="auto"/>
            <w:left w:val="none" w:sz="0" w:space="0" w:color="auto"/>
            <w:bottom w:val="none" w:sz="0" w:space="0" w:color="auto"/>
            <w:right w:val="none" w:sz="0" w:space="0" w:color="auto"/>
          </w:divBdr>
        </w:div>
        <w:div w:id="703943527">
          <w:marLeft w:val="360"/>
          <w:marRight w:val="0"/>
          <w:marTop w:val="200"/>
          <w:marBottom w:val="0"/>
          <w:divBdr>
            <w:top w:val="none" w:sz="0" w:space="0" w:color="auto"/>
            <w:left w:val="none" w:sz="0" w:space="0" w:color="auto"/>
            <w:bottom w:val="none" w:sz="0" w:space="0" w:color="auto"/>
            <w:right w:val="none" w:sz="0" w:space="0" w:color="auto"/>
          </w:divBdr>
        </w:div>
        <w:div w:id="420175268">
          <w:marLeft w:val="1080"/>
          <w:marRight w:val="0"/>
          <w:marTop w:val="100"/>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AFCA917-3848-4197-ACA6-1D44B1C4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2020-05-15T10:04:00Z</dcterms:created>
  <dcterms:modified xsi:type="dcterms:W3CDTF">2020-05-15T10:04:00Z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